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0A14" w14:textId="2A9408B8" w:rsidR="003103EB" w:rsidRDefault="003103EB" w:rsidP="00AF76B4">
      <w:pPr>
        <w:rPr>
          <w:sz w:val="16"/>
          <w:szCs w:val="16"/>
        </w:rPr>
      </w:pPr>
    </w:p>
    <w:p w14:paraId="6550333C" w14:textId="01A46DDA" w:rsidR="003103EB" w:rsidRDefault="002865B6" w:rsidP="008350A9">
      <w:pPr>
        <w:ind w:left="-142"/>
        <w:rPr>
          <w:sz w:val="16"/>
          <w:szCs w:val="16"/>
        </w:rPr>
      </w:pPr>
      <w:r>
        <w:rPr>
          <w:noProof/>
          <w:sz w:val="16"/>
          <w:szCs w:val="16"/>
          <w:lang w:eastAsia="fr-FR"/>
        </w:rPr>
        <mc:AlternateContent>
          <mc:Choice Requires="wps">
            <w:drawing>
              <wp:anchor distT="0" distB="0" distL="114300" distR="114300" simplePos="0" relativeHeight="251661312" behindDoc="0" locked="0" layoutInCell="1" allowOverlap="1" wp14:anchorId="2832CA4D" wp14:editId="7D32DF38">
                <wp:simplePos x="0" y="0"/>
                <wp:positionH relativeFrom="column">
                  <wp:posOffset>-635</wp:posOffset>
                </wp:positionH>
                <wp:positionV relativeFrom="paragraph">
                  <wp:posOffset>248497</wp:posOffset>
                </wp:positionV>
                <wp:extent cx="6791325" cy="800100"/>
                <wp:effectExtent l="9525" t="10160" r="952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00100"/>
                        </a:xfrm>
                        <a:prstGeom prst="rect">
                          <a:avLst/>
                        </a:prstGeom>
                        <a:solidFill>
                          <a:srgbClr val="FFFFFF"/>
                        </a:solidFill>
                        <a:ln w="9525">
                          <a:solidFill>
                            <a:schemeClr val="bg1">
                              <a:lumMod val="50000"/>
                              <a:lumOff val="0"/>
                            </a:schemeClr>
                          </a:solidFill>
                          <a:miter lim="800000"/>
                          <a:headEnd/>
                          <a:tailEnd/>
                        </a:ln>
                      </wps:spPr>
                      <wps:txbx>
                        <w:txbxContent>
                          <w:p w14:paraId="3F87C211" w14:textId="232B8B1B" w:rsidR="00802594" w:rsidRPr="002865B6" w:rsidRDefault="00802594" w:rsidP="0050165D">
                            <w:pPr>
                              <w:spacing w:before="240"/>
                              <w:jc w:val="center"/>
                              <w:rPr>
                                <w:b/>
                                <w:bCs/>
                                <w:color w:val="D20025"/>
                                <w:sz w:val="48"/>
                                <w:szCs w:val="48"/>
                              </w:rPr>
                            </w:pPr>
                            <w:r w:rsidRPr="002865B6">
                              <w:rPr>
                                <w:b/>
                                <w:bCs/>
                                <w:color w:val="D20025"/>
                                <w:sz w:val="48"/>
                                <w:szCs w:val="48"/>
                              </w:rPr>
                              <w:t>BAR</w:t>
                            </w:r>
                            <w:r w:rsidR="002865B6">
                              <w:rPr>
                                <w:b/>
                                <w:bCs/>
                                <w:color w:val="D20025"/>
                                <w:sz w:val="48"/>
                                <w:szCs w:val="48"/>
                              </w:rPr>
                              <w:t>E</w:t>
                            </w:r>
                            <w:r w:rsidRPr="002865B6">
                              <w:rPr>
                                <w:b/>
                                <w:bCs/>
                                <w:color w:val="D20025"/>
                                <w:sz w:val="48"/>
                                <w:szCs w:val="48"/>
                              </w:rPr>
                              <w:t xml:space="preserve">ME DES HONORAIRES AU </w:t>
                            </w:r>
                            <w:r w:rsidR="006E6999" w:rsidRPr="002865B6">
                              <w:rPr>
                                <w:b/>
                                <w:bCs/>
                                <w:color w:val="D20025"/>
                                <w:sz w:val="48"/>
                                <w:szCs w:val="48"/>
                              </w:rPr>
                              <w:t>1</w:t>
                            </w:r>
                            <w:r w:rsidR="006E6999" w:rsidRPr="002865B6">
                              <w:rPr>
                                <w:b/>
                                <w:bCs/>
                                <w:color w:val="D20025"/>
                                <w:sz w:val="48"/>
                                <w:szCs w:val="48"/>
                                <w:vertAlign w:val="superscript"/>
                              </w:rPr>
                              <w:t>er</w:t>
                            </w:r>
                            <w:r w:rsidR="006E6999" w:rsidRPr="002865B6">
                              <w:rPr>
                                <w:b/>
                                <w:bCs/>
                                <w:color w:val="D20025"/>
                                <w:sz w:val="48"/>
                                <w:szCs w:val="48"/>
                              </w:rPr>
                              <w:t xml:space="preserve"> JUIN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2CA4D" id="_x0000_t202" coordsize="21600,21600" o:spt="202" path="m,l,21600r21600,l21600,xe">
                <v:stroke joinstyle="miter"/>
                <v:path gradientshapeok="t" o:connecttype="rect"/>
              </v:shapetype>
              <v:shape id="Text Box 4" o:spid="_x0000_s1026" type="#_x0000_t202" style="position:absolute;left:0;text-align:left;margin-left:-.05pt;margin-top:19.55pt;width:534.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3d9MAIAAGEEAAAOAAAAZHJzL2Uyb0RvYy54bWysVMtu2zAQvBfoPxC815JdO4kFy0Hq1EWB&#13;&#10;9AGk/QCKoiSiJJclaUvu12dJ2Y6b3IrqQHD5GO7M7Gp1O2hF9sJ5Caak00lOiTAcamnakv78sX13&#13;&#10;Q4kPzNRMgRElPQhPb9dv36x6W4gZdKBq4QiCGF/0tqRdCLbIMs87oZmfgBUGNxtwmgUMXZvVjvWI&#13;&#10;rlU2y/OrrAdXWwdceI+r9+MmXSf8phE8fGsaLwJRJcXcQhpdGqs4ZusVK1rHbCf5MQ32D1loJg0+&#13;&#10;eoa6Z4GRnZOvoLTkDjw0YcJBZ9A0kovEAdlM8xdsHjtmReKC4nh7lsn/P1j+df9ovzsShg8woIGJ&#13;&#10;hLcPwH95YmDTMdOKO+eg7wSr8eFplCzrrS+OV6PUvvARpOq/QI0ms12ABDQ0TkdVkCdBdDTgcBZd&#13;&#10;DIFwXLy6Xk7fzxaUcNy7yVGF5ErGitNt63z4JECTOCmpQ1MTOts/+BCzYcXpSHzMg5L1ViqVAtdW&#13;&#10;G+XInmEBbNOXCLw4pgzpS7pcYB6vIWItijNI1Y4iqZ1GtiPwIsdvrCVcxoobl09EUjVHhJTrX/lp&#13;&#10;GbD+ldSJ+xkliv3R1Kk6A5NqnCNRZY7qR8FH6cNQDXgwulBBfUAfHIx1jn2Jkw7cH0p6rPGS+t87&#13;&#10;5gQl6rNBL5fT+Tw2RQrmi+sZBu5yp7rcYYYjVEkDJeN0E8ZG2lkn2w5fGoUxcIf+NzJZ85zVMW+s&#13;&#10;46TCsedio1zG6dTzn2H9BAAA//8DAFBLAwQUAAYACAAAACEAjm1y6t8AAAAOAQAADwAAAGRycy9k&#13;&#10;b3ducmV2LnhtbExPyU7DMBC9I/UfrKnErXVCISJpnKoCIXpN6Qe48TSx8BJiNwl8PdMTXGbRm3lL&#13;&#10;uZutYSMOQXsnIF0nwNA1XmnXCjh9vK2egYUonZLGOxTwjQF21eKulIXyk6txPMaWEYkLhRTQxdgX&#13;&#10;nIemQyvD2vfoCLv4wcpI69ByNciJyK3hD0mScSu1I4VO9vjSYfN5vFoBfhpPGf96N+FQ/9SXQ673&#13;&#10;G6OFuF/Or1sq+y2wiHP8+4BbBvIPFRk7+6tTgRkBq5QOBWxy6jc4yfJHYGeasqcUeFXy/zGqXwAA&#13;&#10;AP//AwBQSwECLQAUAAYACAAAACEAtoM4kv4AAADhAQAAEwAAAAAAAAAAAAAAAAAAAAAAW0NvbnRl&#13;&#10;bnRfVHlwZXNdLnhtbFBLAQItABQABgAIAAAAIQA4/SH/1gAAAJQBAAALAAAAAAAAAAAAAAAAAC8B&#13;&#10;AABfcmVscy8ucmVsc1BLAQItABQABgAIAAAAIQCeZ3d9MAIAAGEEAAAOAAAAAAAAAAAAAAAAAC4C&#13;&#10;AABkcnMvZTJvRG9jLnhtbFBLAQItABQABgAIAAAAIQCObXLq3wAAAA4BAAAPAAAAAAAAAAAAAAAA&#13;&#10;AIoEAABkcnMvZG93bnJldi54bWxQSwUGAAAAAAQABADzAAAAlgUAAAAA&#13;&#10;" strokecolor="#7f7f7f [1612]">
                <v:textbox>
                  <w:txbxContent>
                    <w:p w14:paraId="3F87C211" w14:textId="232B8B1B" w:rsidR="00802594" w:rsidRPr="002865B6" w:rsidRDefault="00802594" w:rsidP="0050165D">
                      <w:pPr>
                        <w:spacing w:before="240"/>
                        <w:jc w:val="center"/>
                        <w:rPr>
                          <w:b/>
                          <w:bCs/>
                          <w:color w:val="D20025"/>
                          <w:sz w:val="48"/>
                          <w:szCs w:val="48"/>
                        </w:rPr>
                      </w:pPr>
                      <w:r w:rsidRPr="002865B6">
                        <w:rPr>
                          <w:b/>
                          <w:bCs/>
                          <w:color w:val="D20025"/>
                          <w:sz w:val="48"/>
                          <w:szCs w:val="48"/>
                        </w:rPr>
                        <w:t>BAR</w:t>
                      </w:r>
                      <w:r w:rsidR="002865B6">
                        <w:rPr>
                          <w:b/>
                          <w:bCs/>
                          <w:color w:val="D20025"/>
                          <w:sz w:val="48"/>
                          <w:szCs w:val="48"/>
                        </w:rPr>
                        <w:t>E</w:t>
                      </w:r>
                      <w:r w:rsidRPr="002865B6">
                        <w:rPr>
                          <w:b/>
                          <w:bCs/>
                          <w:color w:val="D20025"/>
                          <w:sz w:val="48"/>
                          <w:szCs w:val="48"/>
                        </w:rPr>
                        <w:t xml:space="preserve">ME DES HONORAIRES AU </w:t>
                      </w:r>
                      <w:r w:rsidR="006E6999" w:rsidRPr="002865B6">
                        <w:rPr>
                          <w:b/>
                          <w:bCs/>
                          <w:color w:val="D20025"/>
                          <w:sz w:val="48"/>
                          <w:szCs w:val="48"/>
                        </w:rPr>
                        <w:t>1</w:t>
                      </w:r>
                      <w:r w:rsidR="006E6999" w:rsidRPr="002865B6">
                        <w:rPr>
                          <w:b/>
                          <w:bCs/>
                          <w:color w:val="D20025"/>
                          <w:sz w:val="48"/>
                          <w:szCs w:val="48"/>
                          <w:vertAlign w:val="superscript"/>
                        </w:rPr>
                        <w:t>er</w:t>
                      </w:r>
                      <w:r w:rsidR="006E6999" w:rsidRPr="002865B6">
                        <w:rPr>
                          <w:b/>
                          <w:bCs/>
                          <w:color w:val="D20025"/>
                          <w:sz w:val="48"/>
                          <w:szCs w:val="48"/>
                        </w:rPr>
                        <w:t xml:space="preserve"> JUIN 2024</w:t>
                      </w:r>
                    </w:p>
                  </w:txbxContent>
                </v:textbox>
              </v:shape>
            </w:pict>
          </mc:Fallback>
        </mc:AlternateContent>
      </w:r>
    </w:p>
    <w:p w14:paraId="55475275" w14:textId="2285CA09" w:rsidR="00623DA2" w:rsidRDefault="003103EB" w:rsidP="003103EB">
      <w:pPr>
        <w:ind w:left="-142" w:firstLine="708"/>
        <w:rPr>
          <w:sz w:val="16"/>
          <w:szCs w:val="16"/>
        </w:rPr>
      </w:pPr>
      <w:r>
        <w:rPr>
          <w:sz w:val="16"/>
          <w:szCs w:val="16"/>
        </w:rPr>
        <w:br w:type="textWrapping" w:clear="all"/>
      </w:r>
    </w:p>
    <w:p w14:paraId="2C332334" w14:textId="7983F98D" w:rsidR="00521D92" w:rsidRDefault="00521D92">
      <w:pPr>
        <w:rPr>
          <w:sz w:val="16"/>
          <w:szCs w:val="16"/>
        </w:rPr>
      </w:pPr>
    </w:p>
    <w:p w14:paraId="40DA4D6B" w14:textId="77777777" w:rsidR="0050165D" w:rsidRDefault="0050165D">
      <w:pPr>
        <w:rPr>
          <w:sz w:val="16"/>
          <w:szCs w:val="16"/>
        </w:rPr>
      </w:pPr>
    </w:p>
    <w:tbl>
      <w:tblPr>
        <w:tblStyle w:val="Grilledutableau"/>
        <w:tblW w:w="10682" w:type="dxa"/>
        <w:tblBorders>
          <w:right w:val="none" w:sz="0" w:space="0" w:color="auto"/>
        </w:tblBorders>
        <w:tblLook w:val="04A0" w:firstRow="1" w:lastRow="0" w:firstColumn="1" w:lastColumn="0" w:noHBand="0" w:noVBand="1"/>
      </w:tblPr>
      <w:tblGrid>
        <w:gridCol w:w="2660"/>
        <w:gridCol w:w="3572"/>
        <w:gridCol w:w="4450"/>
      </w:tblGrid>
      <w:tr w:rsidR="0050165D" w14:paraId="5860BFE3" w14:textId="77777777" w:rsidTr="00F405BD">
        <w:tc>
          <w:tcPr>
            <w:tcW w:w="10682" w:type="dxa"/>
            <w:gridSpan w:val="3"/>
            <w:shd w:val="clear" w:color="auto" w:fill="C00000"/>
          </w:tcPr>
          <w:p w14:paraId="1B4C4787" w14:textId="77777777" w:rsidR="0050165D" w:rsidRPr="00B86BB4" w:rsidRDefault="0050165D" w:rsidP="000A769F">
            <w:pPr>
              <w:jc w:val="center"/>
              <w:rPr>
                <w:b/>
                <w:color w:val="FFFFFF" w:themeColor="background1"/>
              </w:rPr>
            </w:pPr>
            <w:r w:rsidRPr="00B86BB4">
              <w:rPr>
                <w:b/>
                <w:color w:val="FFFFFF" w:themeColor="background1"/>
              </w:rPr>
              <w:t>LOCATIONS A L’ANNEE</w:t>
            </w:r>
          </w:p>
        </w:tc>
      </w:tr>
      <w:tr w:rsidR="0050165D" w:rsidRPr="003C119F" w14:paraId="43599002" w14:textId="77777777" w:rsidTr="00F405BD">
        <w:tc>
          <w:tcPr>
            <w:tcW w:w="10682" w:type="dxa"/>
            <w:gridSpan w:val="3"/>
          </w:tcPr>
          <w:p w14:paraId="12AE4A00" w14:textId="77777777" w:rsidR="0050165D" w:rsidRPr="003C119F" w:rsidRDefault="0050165D" w:rsidP="003C119F">
            <w:pPr>
              <w:jc w:val="center"/>
              <w:rPr>
                <w:b/>
                <w:bCs/>
              </w:rPr>
            </w:pPr>
          </w:p>
        </w:tc>
      </w:tr>
      <w:tr w:rsidR="003C119F" w:rsidRPr="003C119F" w14:paraId="3A105CC4" w14:textId="77777777" w:rsidTr="00F405BD">
        <w:tc>
          <w:tcPr>
            <w:tcW w:w="10682" w:type="dxa"/>
            <w:gridSpan w:val="3"/>
            <w:shd w:val="clear" w:color="auto" w:fill="D9D9D9" w:themeFill="background1" w:themeFillShade="D9"/>
          </w:tcPr>
          <w:p w14:paraId="637B8404" w14:textId="77777777" w:rsidR="00F405BD" w:rsidRPr="00F405BD" w:rsidRDefault="00F405BD" w:rsidP="000A769F">
            <w:pPr>
              <w:jc w:val="center"/>
              <w:rPr>
                <w:b/>
                <w:bCs/>
                <w:sz w:val="10"/>
                <w:szCs w:val="10"/>
              </w:rPr>
            </w:pPr>
          </w:p>
          <w:p w14:paraId="36F1549E" w14:textId="77777777" w:rsidR="003C119F" w:rsidRDefault="003C119F" w:rsidP="000A769F">
            <w:pPr>
              <w:jc w:val="center"/>
              <w:rPr>
                <w:b/>
                <w:bCs/>
              </w:rPr>
            </w:pPr>
            <w:r w:rsidRPr="003C119F">
              <w:rPr>
                <w:b/>
                <w:bCs/>
              </w:rPr>
              <w:t>HONORAIRES DE GESTION</w:t>
            </w:r>
          </w:p>
          <w:p w14:paraId="53A9F45C" w14:textId="1DF1E218" w:rsidR="00F405BD" w:rsidRPr="00F405BD" w:rsidRDefault="00F405BD" w:rsidP="000A769F">
            <w:pPr>
              <w:jc w:val="center"/>
              <w:rPr>
                <w:b/>
                <w:bCs/>
                <w:sz w:val="10"/>
                <w:szCs w:val="10"/>
              </w:rPr>
            </w:pPr>
          </w:p>
        </w:tc>
      </w:tr>
      <w:tr w:rsidR="003C119F" w14:paraId="378F21CF" w14:textId="77777777" w:rsidTr="00F405BD">
        <w:tc>
          <w:tcPr>
            <w:tcW w:w="2660" w:type="dxa"/>
          </w:tcPr>
          <w:p w14:paraId="06A000F3" w14:textId="77777777" w:rsidR="00F405BD" w:rsidRPr="00F405BD" w:rsidRDefault="00F405BD" w:rsidP="009D1CF4">
            <w:pPr>
              <w:rPr>
                <w:sz w:val="10"/>
                <w:szCs w:val="10"/>
              </w:rPr>
            </w:pPr>
          </w:p>
          <w:p w14:paraId="50F9CA06" w14:textId="77777777" w:rsidR="003C119F" w:rsidRDefault="003C119F" w:rsidP="009D1CF4">
            <w:r w:rsidRPr="00A215FC">
              <w:t>Honoraires de Gestion</w:t>
            </w:r>
          </w:p>
          <w:p w14:paraId="10FB152E" w14:textId="55E67EEC" w:rsidR="00F405BD" w:rsidRPr="00F405BD" w:rsidRDefault="00F405BD" w:rsidP="009D1CF4">
            <w:pPr>
              <w:rPr>
                <w:sz w:val="10"/>
                <w:szCs w:val="10"/>
              </w:rPr>
            </w:pPr>
          </w:p>
        </w:tc>
        <w:tc>
          <w:tcPr>
            <w:tcW w:w="8022" w:type="dxa"/>
            <w:gridSpan w:val="2"/>
          </w:tcPr>
          <w:p w14:paraId="437E0DDC" w14:textId="77777777" w:rsidR="00F405BD" w:rsidRPr="00F405BD" w:rsidRDefault="00F405BD" w:rsidP="009D1CF4">
            <w:pPr>
              <w:rPr>
                <w:sz w:val="10"/>
                <w:szCs w:val="10"/>
              </w:rPr>
            </w:pPr>
          </w:p>
          <w:p w14:paraId="4C739EB9" w14:textId="0A9CFC0C" w:rsidR="003C119F" w:rsidRDefault="003C119F" w:rsidP="009D1CF4">
            <w:r>
              <w:t>7</w:t>
            </w:r>
            <w:r w:rsidRPr="00A215FC">
              <w:t xml:space="preserve"> % </w:t>
            </w:r>
            <w:proofErr w:type="gramStart"/>
            <w:r>
              <w:t xml:space="preserve">TTC  </w:t>
            </w:r>
            <w:r w:rsidR="009F67C6">
              <w:t>(</w:t>
            </w:r>
            <w:proofErr w:type="gramEnd"/>
            <w:r>
              <w:t>8,50 % TTC pour les stationnements)</w:t>
            </w:r>
          </w:p>
          <w:p w14:paraId="0B683392" w14:textId="12AF7D69" w:rsidR="00F405BD" w:rsidRPr="00F405BD" w:rsidRDefault="00F405BD" w:rsidP="009D1CF4">
            <w:pPr>
              <w:rPr>
                <w:sz w:val="10"/>
                <w:szCs w:val="10"/>
              </w:rPr>
            </w:pPr>
          </w:p>
        </w:tc>
      </w:tr>
      <w:tr w:rsidR="003C119F" w14:paraId="198C8656" w14:textId="77777777" w:rsidTr="00F405BD">
        <w:tc>
          <w:tcPr>
            <w:tcW w:w="10682" w:type="dxa"/>
            <w:gridSpan w:val="3"/>
          </w:tcPr>
          <w:p w14:paraId="5572E10C" w14:textId="77777777" w:rsidR="00F405BD" w:rsidRPr="00F405BD" w:rsidRDefault="00F405BD" w:rsidP="003C119F">
            <w:pPr>
              <w:jc w:val="center"/>
              <w:rPr>
                <w:b/>
                <w:bCs/>
                <w:sz w:val="10"/>
                <w:szCs w:val="10"/>
              </w:rPr>
            </w:pPr>
          </w:p>
          <w:p w14:paraId="66739DFE" w14:textId="77777777" w:rsidR="003C119F" w:rsidRDefault="003C119F" w:rsidP="003C119F">
            <w:pPr>
              <w:jc w:val="center"/>
              <w:rPr>
                <w:b/>
                <w:bCs/>
              </w:rPr>
            </w:pPr>
            <w:r w:rsidRPr="003C119F">
              <w:rPr>
                <w:b/>
                <w:bCs/>
              </w:rPr>
              <w:t xml:space="preserve">HONORAIRES DE </w:t>
            </w:r>
            <w:r w:rsidR="009F67C6">
              <w:rPr>
                <w:b/>
                <w:bCs/>
              </w:rPr>
              <w:t>MISE EN LOCATION</w:t>
            </w:r>
          </w:p>
          <w:p w14:paraId="13B4C8EA" w14:textId="181AC136" w:rsidR="00F405BD" w:rsidRPr="00F405BD" w:rsidRDefault="00F405BD" w:rsidP="003C119F">
            <w:pPr>
              <w:jc w:val="center"/>
              <w:rPr>
                <w:b/>
                <w:bCs/>
                <w:sz w:val="10"/>
                <w:szCs w:val="10"/>
              </w:rPr>
            </w:pPr>
          </w:p>
        </w:tc>
      </w:tr>
      <w:tr w:rsidR="003C119F" w14:paraId="39AD728B" w14:textId="77777777" w:rsidTr="00F405BD">
        <w:tc>
          <w:tcPr>
            <w:tcW w:w="2660" w:type="dxa"/>
            <w:vAlign w:val="center"/>
          </w:tcPr>
          <w:p w14:paraId="6ED3DAC7" w14:textId="6D1DDA7F" w:rsidR="003C119F" w:rsidRDefault="003C119F" w:rsidP="00F405BD">
            <w:r>
              <w:t>A la charge du bailleur</w:t>
            </w:r>
          </w:p>
        </w:tc>
        <w:tc>
          <w:tcPr>
            <w:tcW w:w="8022" w:type="dxa"/>
            <w:gridSpan w:val="2"/>
          </w:tcPr>
          <w:p w14:paraId="19B5C960" w14:textId="77777777" w:rsidR="00F405BD" w:rsidRPr="00F405BD" w:rsidRDefault="00F405BD" w:rsidP="00F405BD">
            <w:pPr>
              <w:rPr>
                <w:sz w:val="10"/>
                <w:szCs w:val="10"/>
              </w:rPr>
            </w:pPr>
          </w:p>
          <w:p w14:paraId="561E5450" w14:textId="77777777" w:rsidR="003C119F" w:rsidRDefault="003C119F" w:rsidP="00F405BD">
            <w:r>
              <w:t>Honoraires forfaitaires : 1 mois de loyer H</w:t>
            </w:r>
            <w:r w:rsidR="00F405BD">
              <w:t xml:space="preserve">ors </w:t>
            </w:r>
            <w:r>
              <w:t>C</w:t>
            </w:r>
            <w:r w:rsidR="00F405BD">
              <w:t>harges</w:t>
            </w:r>
            <w:r>
              <w:t xml:space="preserve"> (incluant honoraires rédaction de bail et état des lieux)</w:t>
            </w:r>
          </w:p>
          <w:p w14:paraId="2A6D2EE9" w14:textId="43511C41" w:rsidR="00F405BD" w:rsidRPr="00F405BD" w:rsidRDefault="00F405BD" w:rsidP="00F405BD">
            <w:pPr>
              <w:rPr>
                <w:sz w:val="10"/>
                <w:szCs w:val="10"/>
              </w:rPr>
            </w:pPr>
          </w:p>
        </w:tc>
      </w:tr>
      <w:tr w:rsidR="003C119F" w14:paraId="6AD9B5B7" w14:textId="77777777" w:rsidTr="00F405BD">
        <w:tc>
          <w:tcPr>
            <w:tcW w:w="2660" w:type="dxa"/>
          </w:tcPr>
          <w:p w14:paraId="57C5AE3A" w14:textId="77777777" w:rsidR="00F405BD" w:rsidRPr="00F405BD" w:rsidRDefault="00F405BD" w:rsidP="000A769F">
            <w:pPr>
              <w:rPr>
                <w:sz w:val="10"/>
                <w:szCs w:val="10"/>
              </w:rPr>
            </w:pPr>
          </w:p>
          <w:p w14:paraId="39E9CF2C" w14:textId="59BD8C8C" w:rsidR="003C119F" w:rsidRDefault="003C119F" w:rsidP="000A769F">
            <w:r>
              <w:t>A la charge du locataire</w:t>
            </w:r>
          </w:p>
          <w:p w14:paraId="4E10066D" w14:textId="56023451" w:rsidR="00F405BD" w:rsidRPr="00F405BD" w:rsidRDefault="00F405BD" w:rsidP="000A769F">
            <w:pPr>
              <w:rPr>
                <w:sz w:val="10"/>
                <w:szCs w:val="10"/>
              </w:rPr>
            </w:pPr>
          </w:p>
        </w:tc>
        <w:tc>
          <w:tcPr>
            <w:tcW w:w="3572" w:type="dxa"/>
            <w:vAlign w:val="center"/>
          </w:tcPr>
          <w:p w14:paraId="57D36BD2" w14:textId="3B8CFCB7" w:rsidR="003C119F" w:rsidRDefault="003C119F" w:rsidP="000A769F">
            <w:pPr>
              <w:jc w:val="center"/>
            </w:pPr>
            <w:r>
              <w:t>9 € x m²</w:t>
            </w:r>
          </w:p>
        </w:tc>
        <w:tc>
          <w:tcPr>
            <w:tcW w:w="4450" w:type="dxa"/>
            <w:vAlign w:val="center"/>
          </w:tcPr>
          <w:p w14:paraId="722404D1" w14:textId="1619DF8A" w:rsidR="003C119F" w:rsidRDefault="003C119F" w:rsidP="000A769F">
            <w:pPr>
              <w:jc w:val="center"/>
            </w:pPr>
            <w:r>
              <w:t>3 € x m²</w:t>
            </w:r>
          </w:p>
        </w:tc>
      </w:tr>
      <w:tr w:rsidR="003C119F" w:rsidRPr="00F405BD" w14:paraId="1907A2CD" w14:textId="77777777" w:rsidTr="00F405BD">
        <w:tc>
          <w:tcPr>
            <w:tcW w:w="10682" w:type="dxa"/>
            <w:gridSpan w:val="3"/>
          </w:tcPr>
          <w:p w14:paraId="7CCDC9A9" w14:textId="77777777" w:rsidR="00F405BD" w:rsidRPr="00F405BD" w:rsidRDefault="00F405BD" w:rsidP="00F405BD">
            <w:pPr>
              <w:jc w:val="center"/>
              <w:rPr>
                <w:b/>
                <w:bCs/>
                <w:sz w:val="10"/>
                <w:szCs w:val="10"/>
              </w:rPr>
            </w:pPr>
          </w:p>
          <w:p w14:paraId="0B484C86" w14:textId="77777777" w:rsidR="00F405BD" w:rsidRDefault="00F405BD" w:rsidP="00F405BD">
            <w:pPr>
              <w:jc w:val="center"/>
              <w:rPr>
                <w:b/>
                <w:bCs/>
              </w:rPr>
            </w:pPr>
            <w:r w:rsidRPr="00F405BD">
              <w:rPr>
                <w:b/>
                <w:bCs/>
              </w:rPr>
              <w:t>HONORAIRES SPÉCIFIQUES</w:t>
            </w:r>
          </w:p>
          <w:p w14:paraId="136EB44D" w14:textId="2D965F2B" w:rsidR="00F405BD" w:rsidRPr="00F405BD" w:rsidRDefault="00F405BD" w:rsidP="00F405BD">
            <w:pPr>
              <w:jc w:val="center"/>
              <w:rPr>
                <w:b/>
                <w:bCs/>
                <w:sz w:val="10"/>
                <w:szCs w:val="10"/>
              </w:rPr>
            </w:pPr>
          </w:p>
        </w:tc>
      </w:tr>
      <w:tr w:rsidR="00F405BD" w14:paraId="54D92A8E" w14:textId="77777777" w:rsidTr="00F405BD">
        <w:tc>
          <w:tcPr>
            <w:tcW w:w="2660" w:type="dxa"/>
            <w:vAlign w:val="center"/>
          </w:tcPr>
          <w:p w14:paraId="785331E0" w14:textId="26643FE3" w:rsidR="00F405BD" w:rsidRDefault="00F405BD" w:rsidP="00F405BD">
            <w:r>
              <w:t>A la charge du bailleur</w:t>
            </w:r>
          </w:p>
        </w:tc>
        <w:tc>
          <w:tcPr>
            <w:tcW w:w="8022" w:type="dxa"/>
            <w:gridSpan w:val="2"/>
          </w:tcPr>
          <w:p w14:paraId="6C4F340C" w14:textId="77777777" w:rsidR="00F405BD" w:rsidRDefault="00F405BD" w:rsidP="00F405BD">
            <w:r>
              <w:t>Aide à la déclaration de revenus : 96 € TTC</w:t>
            </w:r>
          </w:p>
          <w:p w14:paraId="358C8E78" w14:textId="77777777" w:rsidR="00F405BD" w:rsidRDefault="00F405BD" w:rsidP="00F405BD">
            <w:r>
              <w:t>Honoraires suivi sinistres : appliqué au temps passé : 72 € TTC / Heure</w:t>
            </w:r>
          </w:p>
          <w:p w14:paraId="6C4270D3" w14:textId="77777777" w:rsidR="00F405BD" w:rsidRDefault="00F405BD" w:rsidP="00F405BD">
            <w:r>
              <w:t>Honoraires suivi contentieux : appliqué au temps passé : 72 € TTC / Heure</w:t>
            </w:r>
          </w:p>
          <w:p w14:paraId="2AAD4913" w14:textId="4BEF49AF" w:rsidR="00F405BD" w:rsidRDefault="00F405BD" w:rsidP="00F405BD">
            <w:r>
              <w:t>Honoraires suivi gros travaux : appliqué au temps passé : 72 € TTC / Heure</w:t>
            </w:r>
          </w:p>
        </w:tc>
      </w:tr>
    </w:tbl>
    <w:p w14:paraId="7F7687C6" w14:textId="77777777" w:rsidR="0050165D" w:rsidRPr="002865B6" w:rsidRDefault="0050165D">
      <w:pPr>
        <w:rPr>
          <w:sz w:val="10"/>
          <w:szCs w:val="10"/>
        </w:rPr>
      </w:pPr>
    </w:p>
    <w:tbl>
      <w:tblPr>
        <w:tblStyle w:val="Grilledutableau"/>
        <w:tblW w:w="10711" w:type="dxa"/>
        <w:tblLayout w:type="fixed"/>
        <w:tblLook w:val="04A0" w:firstRow="1" w:lastRow="0" w:firstColumn="1" w:lastColumn="0" w:noHBand="0" w:noVBand="1"/>
      </w:tblPr>
      <w:tblGrid>
        <w:gridCol w:w="3227"/>
        <w:gridCol w:w="1871"/>
        <w:gridCol w:w="1871"/>
        <w:gridCol w:w="1871"/>
        <w:gridCol w:w="1871"/>
      </w:tblGrid>
      <w:tr w:rsidR="009A3C67" w14:paraId="5E8A79B3" w14:textId="77777777" w:rsidTr="00C23AEE">
        <w:tc>
          <w:tcPr>
            <w:tcW w:w="3227" w:type="dxa"/>
            <w:tcBorders>
              <w:top w:val="single" w:sz="4" w:space="0" w:color="auto"/>
              <w:left w:val="single" w:sz="4" w:space="0" w:color="auto"/>
              <w:bottom w:val="single" w:sz="4" w:space="0" w:color="auto"/>
              <w:right w:val="single" w:sz="4" w:space="0" w:color="auto"/>
            </w:tcBorders>
            <w:shd w:val="clear" w:color="auto" w:fill="C00000"/>
          </w:tcPr>
          <w:p w14:paraId="0143BB42" w14:textId="77777777" w:rsidR="009A3C67" w:rsidRDefault="009A3C67" w:rsidP="003D2983">
            <w:pPr>
              <w:rPr>
                <w:sz w:val="16"/>
                <w:szCs w:val="16"/>
              </w:rPr>
            </w:pPr>
          </w:p>
        </w:tc>
        <w:tc>
          <w:tcPr>
            <w:tcW w:w="3742" w:type="dxa"/>
            <w:gridSpan w:val="2"/>
            <w:tcBorders>
              <w:left w:val="single" w:sz="4" w:space="0" w:color="auto"/>
              <w:bottom w:val="single" w:sz="4" w:space="0" w:color="auto"/>
            </w:tcBorders>
            <w:shd w:val="clear" w:color="auto" w:fill="C00000"/>
          </w:tcPr>
          <w:p w14:paraId="1E737E10" w14:textId="77777777" w:rsidR="009A3C67" w:rsidRDefault="009A3C67" w:rsidP="00802594">
            <w:pPr>
              <w:jc w:val="center"/>
              <w:rPr>
                <w:sz w:val="16"/>
                <w:szCs w:val="16"/>
              </w:rPr>
            </w:pPr>
            <w:r w:rsidRPr="00802594">
              <w:rPr>
                <w:b/>
                <w:color w:val="FFFFFF" w:themeColor="background1"/>
              </w:rPr>
              <w:t>BAIL COMMERCIAL</w:t>
            </w:r>
          </w:p>
        </w:tc>
        <w:tc>
          <w:tcPr>
            <w:tcW w:w="3742" w:type="dxa"/>
            <w:gridSpan w:val="2"/>
            <w:tcBorders>
              <w:bottom w:val="single" w:sz="4" w:space="0" w:color="auto"/>
            </w:tcBorders>
            <w:shd w:val="clear" w:color="auto" w:fill="C00000"/>
          </w:tcPr>
          <w:p w14:paraId="4FB7F04C" w14:textId="77777777" w:rsidR="009A3C67" w:rsidRPr="00802594" w:rsidRDefault="009A3C67" w:rsidP="00802594">
            <w:pPr>
              <w:jc w:val="center"/>
              <w:rPr>
                <w:b/>
                <w:color w:val="FFFFFF" w:themeColor="background1"/>
              </w:rPr>
            </w:pPr>
            <w:r w:rsidRPr="00802594">
              <w:rPr>
                <w:b/>
                <w:color w:val="FFFFFF" w:themeColor="background1"/>
              </w:rPr>
              <w:t>LOCATION SAISONNIERE</w:t>
            </w:r>
          </w:p>
        </w:tc>
      </w:tr>
      <w:tr w:rsidR="002065FA" w14:paraId="008CA4F3" w14:textId="77777777" w:rsidTr="00C23AEE">
        <w:tc>
          <w:tcPr>
            <w:tcW w:w="6969" w:type="dxa"/>
            <w:gridSpan w:val="3"/>
            <w:tcBorders>
              <w:top w:val="single" w:sz="4" w:space="0" w:color="auto"/>
              <w:bottom w:val="single" w:sz="4" w:space="0" w:color="auto"/>
            </w:tcBorders>
          </w:tcPr>
          <w:p w14:paraId="016BA159" w14:textId="77777777" w:rsidR="002065FA" w:rsidRPr="00802594" w:rsidRDefault="002065FA" w:rsidP="00802594">
            <w:pPr>
              <w:jc w:val="center"/>
            </w:pPr>
          </w:p>
        </w:tc>
        <w:tc>
          <w:tcPr>
            <w:tcW w:w="3742" w:type="dxa"/>
            <w:gridSpan w:val="2"/>
            <w:tcBorders>
              <w:top w:val="single" w:sz="4" w:space="0" w:color="auto"/>
              <w:bottom w:val="single" w:sz="4" w:space="0" w:color="auto"/>
            </w:tcBorders>
          </w:tcPr>
          <w:p w14:paraId="1919743A" w14:textId="77777777" w:rsidR="002065FA" w:rsidRPr="00802594" w:rsidRDefault="002065FA" w:rsidP="00802594">
            <w:pPr>
              <w:jc w:val="center"/>
            </w:pPr>
          </w:p>
        </w:tc>
      </w:tr>
      <w:tr w:rsidR="002065FA" w14:paraId="4485CDB8" w14:textId="77777777" w:rsidTr="00C23AEE">
        <w:tc>
          <w:tcPr>
            <w:tcW w:w="3227" w:type="dxa"/>
            <w:tcBorders>
              <w:top w:val="single" w:sz="4" w:space="0" w:color="auto"/>
            </w:tcBorders>
            <w:shd w:val="pct20" w:color="auto" w:fill="auto"/>
          </w:tcPr>
          <w:p w14:paraId="2EA0AF05" w14:textId="77777777" w:rsidR="00802594" w:rsidRPr="00802594" w:rsidRDefault="00802594" w:rsidP="009A3C67">
            <w:r w:rsidRPr="00802594">
              <w:t>A la charge du :</w:t>
            </w:r>
          </w:p>
        </w:tc>
        <w:tc>
          <w:tcPr>
            <w:tcW w:w="1871" w:type="dxa"/>
            <w:tcBorders>
              <w:top w:val="single" w:sz="4" w:space="0" w:color="auto"/>
            </w:tcBorders>
            <w:shd w:val="pct20" w:color="auto" w:fill="auto"/>
          </w:tcPr>
          <w:p w14:paraId="65671F81" w14:textId="77777777" w:rsidR="00802594" w:rsidRPr="00802594" w:rsidRDefault="00802594" w:rsidP="009A3C67">
            <w:pPr>
              <w:jc w:val="center"/>
            </w:pPr>
            <w:r w:rsidRPr="00802594">
              <w:t>B</w:t>
            </w:r>
            <w:r w:rsidR="002065FA">
              <w:t>ailleur</w:t>
            </w:r>
          </w:p>
        </w:tc>
        <w:tc>
          <w:tcPr>
            <w:tcW w:w="1871" w:type="dxa"/>
            <w:tcBorders>
              <w:top w:val="single" w:sz="4" w:space="0" w:color="auto"/>
            </w:tcBorders>
            <w:shd w:val="pct20" w:color="auto" w:fill="auto"/>
          </w:tcPr>
          <w:p w14:paraId="40308CE7" w14:textId="77777777" w:rsidR="00802594" w:rsidRPr="00802594" w:rsidRDefault="00802594" w:rsidP="002065FA">
            <w:pPr>
              <w:jc w:val="center"/>
            </w:pPr>
            <w:r w:rsidRPr="00802594">
              <w:t>L</w:t>
            </w:r>
            <w:r w:rsidR="002065FA">
              <w:t>ocataire</w:t>
            </w:r>
          </w:p>
        </w:tc>
        <w:tc>
          <w:tcPr>
            <w:tcW w:w="1871" w:type="dxa"/>
            <w:tcBorders>
              <w:top w:val="single" w:sz="4" w:space="0" w:color="auto"/>
            </w:tcBorders>
            <w:shd w:val="pct20" w:color="auto" w:fill="auto"/>
          </w:tcPr>
          <w:p w14:paraId="219A491F" w14:textId="77777777" w:rsidR="00802594" w:rsidRPr="00802594" w:rsidRDefault="00802594" w:rsidP="002065FA">
            <w:pPr>
              <w:jc w:val="center"/>
            </w:pPr>
            <w:r w:rsidRPr="00802594">
              <w:t>P</w:t>
            </w:r>
            <w:r w:rsidR="002065FA">
              <w:t>ropriétaire</w:t>
            </w:r>
          </w:p>
        </w:tc>
        <w:tc>
          <w:tcPr>
            <w:tcW w:w="1871" w:type="dxa"/>
            <w:tcBorders>
              <w:top w:val="single" w:sz="4" w:space="0" w:color="auto"/>
            </w:tcBorders>
            <w:shd w:val="pct20" w:color="auto" w:fill="auto"/>
          </w:tcPr>
          <w:p w14:paraId="36F3DD83" w14:textId="77777777" w:rsidR="00802594" w:rsidRPr="00802594" w:rsidRDefault="002065FA" w:rsidP="009A3C67">
            <w:pPr>
              <w:jc w:val="center"/>
            </w:pPr>
            <w:r>
              <w:t>Locataire</w:t>
            </w:r>
          </w:p>
        </w:tc>
      </w:tr>
      <w:tr w:rsidR="009A3C67" w:rsidRPr="00091FEE" w14:paraId="63222270" w14:textId="77777777" w:rsidTr="00C23AEE">
        <w:tc>
          <w:tcPr>
            <w:tcW w:w="3227" w:type="dxa"/>
          </w:tcPr>
          <w:p w14:paraId="5C31F198" w14:textId="77777777" w:rsidR="009A3C67" w:rsidRPr="00091FEE" w:rsidRDefault="002065FA">
            <w:r>
              <w:t>Négociation </w:t>
            </w:r>
          </w:p>
        </w:tc>
        <w:tc>
          <w:tcPr>
            <w:tcW w:w="1871" w:type="dxa"/>
          </w:tcPr>
          <w:p w14:paraId="030E47B0" w14:textId="77777777" w:rsidR="009A3C67" w:rsidRPr="00091FEE" w:rsidRDefault="009A3C67" w:rsidP="009A3C67">
            <w:pPr>
              <w:jc w:val="center"/>
            </w:pPr>
            <w:r w:rsidRPr="00091FEE">
              <w:t>3 % TTC</w:t>
            </w:r>
          </w:p>
        </w:tc>
        <w:tc>
          <w:tcPr>
            <w:tcW w:w="1871" w:type="dxa"/>
          </w:tcPr>
          <w:p w14:paraId="55E0DAE4" w14:textId="77777777" w:rsidR="009A3C67" w:rsidRPr="00091FEE" w:rsidRDefault="009A3C67" w:rsidP="009A3C67">
            <w:pPr>
              <w:jc w:val="center"/>
            </w:pPr>
            <w:r w:rsidRPr="00091FEE">
              <w:t>3 % TTC</w:t>
            </w:r>
          </w:p>
        </w:tc>
        <w:tc>
          <w:tcPr>
            <w:tcW w:w="1871" w:type="dxa"/>
          </w:tcPr>
          <w:p w14:paraId="2E3A4043" w14:textId="77777777" w:rsidR="009A3C67" w:rsidRPr="00091FEE" w:rsidRDefault="009A3C67" w:rsidP="009A3C67">
            <w:pPr>
              <w:jc w:val="center"/>
            </w:pPr>
          </w:p>
        </w:tc>
        <w:tc>
          <w:tcPr>
            <w:tcW w:w="1871" w:type="dxa"/>
          </w:tcPr>
          <w:p w14:paraId="0BC0163F" w14:textId="77777777" w:rsidR="009A3C67" w:rsidRPr="00091FEE" w:rsidRDefault="009A3C67" w:rsidP="009A3C67">
            <w:pPr>
              <w:jc w:val="center"/>
            </w:pPr>
          </w:p>
        </w:tc>
      </w:tr>
      <w:tr w:rsidR="009A3C67" w:rsidRPr="00091FEE" w14:paraId="0779B37C" w14:textId="77777777" w:rsidTr="00C23AEE">
        <w:tc>
          <w:tcPr>
            <w:tcW w:w="3227" w:type="dxa"/>
          </w:tcPr>
          <w:p w14:paraId="2F8FFB54" w14:textId="77777777" w:rsidR="009A3C67" w:rsidRPr="00091FEE" w:rsidRDefault="009A3C67">
            <w:r w:rsidRPr="00091FEE">
              <w:t>Rédaction</w:t>
            </w:r>
          </w:p>
        </w:tc>
        <w:tc>
          <w:tcPr>
            <w:tcW w:w="1871" w:type="dxa"/>
          </w:tcPr>
          <w:p w14:paraId="41A99AC9" w14:textId="77777777" w:rsidR="009A3C67" w:rsidRPr="00091FEE" w:rsidRDefault="009A3C67" w:rsidP="009A3C67">
            <w:pPr>
              <w:jc w:val="center"/>
            </w:pPr>
            <w:r w:rsidRPr="00091FEE">
              <w:t>/</w:t>
            </w:r>
          </w:p>
        </w:tc>
        <w:tc>
          <w:tcPr>
            <w:tcW w:w="1871" w:type="dxa"/>
          </w:tcPr>
          <w:p w14:paraId="22A3DF9F" w14:textId="77777777" w:rsidR="009A3C67" w:rsidRPr="00091FEE" w:rsidRDefault="009A3C67" w:rsidP="009A3C67">
            <w:pPr>
              <w:jc w:val="center"/>
            </w:pPr>
            <w:r w:rsidRPr="00091FEE">
              <w:t>4 % TTC</w:t>
            </w:r>
          </w:p>
        </w:tc>
        <w:tc>
          <w:tcPr>
            <w:tcW w:w="1871" w:type="dxa"/>
          </w:tcPr>
          <w:p w14:paraId="03C69EFF" w14:textId="77777777" w:rsidR="009A3C67" w:rsidRPr="00091FEE" w:rsidRDefault="009A3C67" w:rsidP="009A3C67">
            <w:pPr>
              <w:jc w:val="center"/>
            </w:pPr>
          </w:p>
        </w:tc>
        <w:tc>
          <w:tcPr>
            <w:tcW w:w="1871" w:type="dxa"/>
          </w:tcPr>
          <w:p w14:paraId="75CE5401" w14:textId="77777777" w:rsidR="009A3C67" w:rsidRPr="00091FEE" w:rsidRDefault="009A3C67" w:rsidP="009A3C67">
            <w:pPr>
              <w:jc w:val="center"/>
            </w:pPr>
          </w:p>
        </w:tc>
      </w:tr>
      <w:tr w:rsidR="009A3C67" w:rsidRPr="00091FEE" w14:paraId="321158AD" w14:textId="77777777" w:rsidTr="00C23AEE">
        <w:tc>
          <w:tcPr>
            <w:tcW w:w="3227" w:type="dxa"/>
          </w:tcPr>
          <w:p w14:paraId="62E75F1B" w14:textId="77777777" w:rsidR="009A3C67" w:rsidRPr="00091FEE" w:rsidRDefault="00306A98">
            <w:r w:rsidRPr="00306A98">
              <w:rPr>
                <w:caps/>
              </w:rPr>
              <w:t>é</w:t>
            </w:r>
            <w:r w:rsidR="009A3C67" w:rsidRPr="00091FEE">
              <w:t xml:space="preserve">tat des Lieux </w:t>
            </w:r>
          </w:p>
        </w:tc>
        <w:tc>
          <w:tcPr>
            <w:tcW w:w="1871" w:type="dxa"/>
          </w:tcPr>
          <w:p w14:paraId="61387E73" w14:textId="77777777" w:rsidR="009A3C67" w:rsidRPr="00091FEE" w:rsidRDefault="009A3C67" w:rsidP="009A3C67">
            <w:pPr>
              <w:jc w:val="center"/>
            </w:pPr>
            <w:r w:rsidRPr="00091FEE">
              <w:t>1 % TTC</w:t>
            </w:r>
          </w:p>
        </w:tc>
        <w:tc>
          <w:tcPr>
            <w:tcW w:w="1871" w:type="dxa"/>
          </w:tcPr>
          <w:p w14:paraId="4F57F458" w14:textId="77777777" w:rsidR="009A3C67" w:rsidRPr="00091FEE" w:rsidRDefault="009A3C67" w:rsidP="009A3C67">
            <w:pPr>
              <w:jc w:val="center"/>
            </w:pPr>
            <w:r w:rsidRPr="00091FEE">
              <w:t>1 % TTC</w:t>
            </w:r>
          </w:p>
        </w:tc>
        <w:tc>
          <w:tcPr>
            <w:tcW w:w="1871" w:type="dxa"/>
          </w:tcPr>
          <w:p w14:paraId="7C45A364" w14:textId="77777777" w:rsidR="009A3C67" w:rsidRPr="00091FEE" w:rsidRDefault="009A3C67" w:rsidP="009A3C67">
            <w:pPr>
              <w:jc w:val="center"/>
            </w:pPr>
          </w:p>
        </w:tc>
        <w:tc>
          <w:tcPr>
            <w:tcW w:w="1871" w:type="dxa"/>
          </w:tcPr>
          <w:p w14:paraId="169A21DA" w14:textId="77777777" w:rsidR="009A3C67" w:rsidRPr="00091FEE" w:rsidRDefault="009A3C67" w:rsidP="009A3C67">
            <w:pPr>
              <w:jc w:val="center"/>
            </w:pPr>
          </w:p>
        </w:tc>
      </w:tr>
      <w:tr w:rsidR="00091FEE" w:rsidRPr="00091FEE" w14:paraId="58B31C03" w14:textId="77777777" w:rsidTr="00C23AEE">
        <w:tc>
          <w:tcPr>
            <w:tcW w:w="3227" w:type="dxa"/>
          </w:tcPr>
          <w:p w14:paraId="5E83AC54" w14:textId="5B6AEBAD" w:rsidR="00091FEE" w:rsidRPr="00091FEE" w:rsidRDefault="009A3C67" w:rsidP="002065FA">
            <w:r>
              <w:t>Honoraire</w:t>
            </w:r>
            <w:r w:rsidR="002065FA">
              <w:t>s</w:t>
            </w:r>
            <w:r>
              <w:t xml:space="preserve"> </w:t>
            </w:r>
            <w:r w:rsidR="003475AA">
              <w:t xml:space="preserve">maximum </w:t>
            </w:r>
            <w:r>
              <w:t>de Gestion</w:t>
            </w:r>
            <w:r w:rsidR="00091FEE" w:rsidRPr="00091FEE">
              <w:t>/Location</w:t>
            </w:r>
          </w:p>
        </w:tc>
        <w:tc>
          <w:tcPr>
            <w:tcW w:w="1871" w:type="dxa"/>
          </w:tcPr>
          <w:p w14:paraId="7C76F74A" w14:textId="77777777" w:rsidR="002065FA" w:rsidRDefault="00091FEE" w:rsidP="009A3C67">
            <w:pPr>
              <w:jc w:val="center"/>
            </w:pPr>
            <w:r w:rsidRPr="00091FEE">
              <w:t xml:space="preserve">4 % TTC </w:t>
            </w:r>
          </w:p>
          <w:p w14:paraId="7AF9DDD8" w14:textId="77777777" w:rsidR="00091FEE" w:rsidRPr="00091FEE" w:rsidRDefault="00091FEE" w:rsidP="009A3C67">
            <w:pPr>
              <w:jc w:val="center"/>
            </w:pPr>
            <w:proofErr w:type="gramStart"/>
            <w:r w:rsidRPr="00091FEE">
              <w:t>du</w:t>
            </w:r>
            <w:proofErr w:type="gramEnd"/>
            <w:r w:rsidRPr="00091FEE">
              <w:t xml:space="preserve"> loyer annuel</w:t>
            </w:r>
          </w:p>
        </w:tc>
        <w:tc>
          <w:tcPr>
            <w:tcW w:w="1871" w:type="dxa"/>
          </w:tcPr>
          <w:p w14:paraId="5EC0B35C" w14:textId="77777777" w:rsidR="00091FEE" w:rsidRPr="00091FEE" w:rsidRDefault="00091FEE" w:rsidP="009A3C67">
            <w:pPr>
              <w:jc w:val="center"/>
            </w:pPr>
          </w:p>
        </w:tc>
        <w:tc>
          <w:tcPr>
            <w:tcW w:w="1871" w:type="dxa"/>
          </w:tcPr>
          <w:p w14:paraId="21ADAF0F" w14:textId="77777777" w:rsidR="002065FA" w:rsidRDefault="00091FEE" w:rsidP="009A3C67">
            <w:pPr>
              <w:jc w:val="center"/>
            </w:pPr>
            <w:r w:rsidRPr="00091FEE">
              <w:t xml:space="preserve">12 % TTC </w:t>
            </w:r>
          </w:p>
          <w:p w14:paraId="1F2195BD" w14:textId="77777777" w:rsidR="00091FEE" w:rsidRPr="00091FEE" w:rsidRDefault="00091FEE" w:rsidP="009A3C67">
            <w:pPr>
              <w:jc w:val="center"/>
            </w:pPr>
            <w:proofErr w:type="gramStart"/>
            <w:r w:rsidRPr="00091FEE">
              <w:t>du</w:t>
            </w:r>
            <w:proofErr w:type="gramEnd"/>
            <w:r w:rsidRPr="00091FEE">
              <w:t xml:space="preserve"> loyer</w:t>
            </w:r>
          </w:p>
        </w:tc>
        <w:tc>
          <w:tcPr>
            <w:tcW w:w="1871" w:type="dxa"/>
          </w:tcPr>
          <w:p w14:paraId="667A2B7B" w14:textId="77777777" w:rsidR="00C23AEE" w:rsidRDefault="00091FEE" w:rsidP="009A3C67">
            <w:pPr>
              <w:jc w:val="center"/>
            </w:pPr>
            <w:r w:rsidRPr="00091FEE">
              <w:t xml:space="preserve">20 – 24 % TTC </w:t>
            </w:r>
          </w:p>
          <w:p w14:paraId="77E2F3E2" w14:textId="77777777" w:rsidR="00091FEE" w:rsidRPr="00091FEE" w:rsidRDefault="00091FEE" w:rsidP="009A3C67">
            <w:pPr>
              <w:jc w:val="center"/>
            </w:pPr>
            <w:proofErr w:type="gramStart"/>
            <w:r w:rsidRPr="00091FEE">
              <w:t>du</w:t>
            </w:r>
            <w:proofErr w:type="gramEnd"/>
            <w:r w:rsidRPr="00091FEE">
              <w:t xml:space="preserve"> loyer</w:t>
            </w:r>
          </w:p>
        </w:tc>
      </w:tr>
    </w:tbl>
    <w:p w14:paraId="6A46831E" w14:textId="77777777" w:rsidR="000A769F" w:rsidRPr="002865B6" w:rsidRDefault="000A769F" w:rsidP="000A769F">
      <w:pPr>
        <w:rPr>
          <w:b/>
          <w:color w:val="FFFFFF" w:themeColor="background1"/>
          <w:sz w:val="10"/>
          <w:szCs w:val="10"/>
        </w:rPr>
      </w:pPr>
    </w:p>
    <w:tbl>
      <w:tblPr>
        <w:tblStyle w:val="Grilledutableau"/>
        <w:tblW w:w="0" w:type="auto"/>
        <w:tblLook w:val="04A0" w:firstRow="1" w:lastRow="0" w:firstColumn="1" w:lastColumn="0" w:noHBand="0" w:noVBand="1"/>
      </w:tblPr>
      <w:tblGrid>
        <w:gridCol w:w="2687"/>
        <w:gridCol w:w="2589"/>
        <w:gridCol w:w="2590"/>
        <w:gridCol w:w="2590"/>
      </w:tblGrid>
      <w:tr w:rsidR="00521D92" w14:paraId="436B76DF" w14:textId="77777777" w:rsidTr="002065FA">
        <w:tc>
          <w:tcPr>
            <w:tcW w:w="10682" w:type="dxa"/>
            <w:gridSpan w:val="4"/>
            <w:shd w:val="clear" w:color="auto" w:fill="C00000"/>
          </w:tcPr>
          <w:p w14:paraId="2E21028C" w14:textId="77777777" w:rsidR="00521D92" w:rsidRPr="00B86BB4" w:rsidRDefault="00521D92" w:rsidP="000A769F">
            <w:pPr>
              <w:jc w:val="center"/>
              <w:rPr>
                <w:b/>
                <w:color w:val="FFFFFF" w:themeColor="background1"/>
              </w:rPr>
            </w:pPr>
            <w:r w:rsidRPr="00B86BB4">
              <w:rPr>
                <w:b/>
                <w:color w:val="FFFFFF" w:themeColor="background1"/>
              </w:rPr>
              <w:t>TRANSACTIONS</w:t>
            </w:r>
          </w:p>
        </w:tc>
      </w:tr>
      <w:tr w:rsidR="00521D92" w14:paraId="28B73530" w14:textId="77777777" w:rsidTr="00DC2E54">
        <w:tc>
          <w:tcPr>
            <w:tcW w:w="10682" w:type="dxa"/>
            <w:gridSpan w:val="4"/>
          </w:tcPr>
          <w:p w14:paraId="0CBC23D4" w14:textId="77777777" w:rsidR="00521D92" w:rsidRDefault="00521D92" w:rsidP="000A769F"/>
        </w:tc>
      </w:tr>
      <w:tr w:rsidR="00521D92" w14:paraId="59D3518B" w14:textId="77777777" w:rsidTr="00DC2E54">
        <w:tc>
          <w:tcPr>
            <w:tcW w:w="2736" w:type="dxa"/>
            <w:shd w:val="clear" w:color="auto" w:fill="D9D9D9" w:themeFill="background1" w:themeFillShade="D9"/>
          </w:tcPr>
          <w:p w14:paraId="17803C9F" w14:textId="77777777" w:rsidR="00521D92" w:rsidRDefault="00521D92" w:rsidP="000A769F">
            <w:pPr>
              <w:jc w:val="center"/>
            </w:pPr>
            <w:r>
              <w:t>Prix Net Vendeur</w:t>
            </w:r>
          </w:p>
        </w:tc>
        <w:tc>
          <w:tcPr>
            <w:tcW w:w="2648" w:type="dxa"/>
          </w:tcPr>
          <w:p w14:paraId="2DA24C7F" w14:textId="77777777" w:rsidR="00521D92" w:rsidRDefault="00521D92" w:rsidP="000A769F">
            <w:pPr>
              <w:jc w:val="center"/>
            </w:pPr>
            <w:r>
              <w:t>1 € à 150 000 €</w:t>
            </w:r>
          </w:p>
        </w:tc>
        <w:tc>
          <w:tcPr>
            <w:tcW w:w="2649" w:type="dxa"/>
          </w:tcPr>
          <w:p w14:paraId="465D6879" w14:textId="77777777" w:rsidR="00521D92" w:rsidRDefault="00521D92" w:rsidP="000A769F">
            <w:pPr>
              <w:jc w:val="center"/>
            </w:pPr>
            <w:r>
              <w:t>De 150 001 € à 400 000 €</w:t>
            </w:r>
          </w:p>
        </w:tc>
        <w:tc>
          <w:tcPr>
            <w:tcW w:w="2649" w:type="dxa"/>
          </w:tcPr>
          <w:p w14:paraId="087DB69D" w14:textId="77777777" w:rsidR="00521D92" w:rsidRDefault="00521D92" w:rsidP="000A769F">
            <w:pPr>
              <w:jc w:val="center"/>
            </w:pPr>
            <w:r>
              <w:t>Plus de 400 000 €</w:t>
            </w:r>
          </w:p>
        </w:tc>
      </w:tr>
      <w:tr w:rsidR="00521D92" w14:paraId="59EBABDA" w14:textId="77777777" w:rsidTr="00DC2E54">
        <w:tc>
          <w:tcPr>
            <w:tcW w:w="2736" w:type="dxa"/>
            <w:shd w:val="clear" w:color="auto" w:fill="D9D9D9" w:themeFill="background1" w:themeFillShade="D9"/>
          </w:tcPr>
          <w:p w14:paraId="1AEC174B" w14:textId="77777777" w:rsidR="00521D92" w:rsidRDefault="00521D92" w:rsidP="000A769F">
            <w:pPr>
              <w:jc w:val="center"/>
            </w:pPr>
            <w:r>
              <w:t>Commission TTC</w:t>
            </w:r>
            <w:r w:rsidR="00DA56D9">
              <w:t xml:space="preserve"> **</w:t>
            </w:r>
          </w:p>
        </w:tc>
        <w:tc>
          <w:tcPr>
            <w:tcW w:w="2648" w:type="dxa"/>
          </w:tcPr>
          <w:p w14:paraId="6E464AE5" w14:textId="77777777" w:rsidR="00521D92" w:rsidRDefault="00B01290" w:rsidP="000A769F">
            <w:pPr>
              <w:jc w:val="center"/>
            </w:pPr>
            <w:r>
              <w:t>6,5 %</w:t>
            </w:r>
          </w:p>
        </w:tc>
        <w:tc>
          <w:tcPr>
            <w:tcW w:w="2649" w:type="dxa"/>
          </w:tcPr>
          <w:p w14:paraId="19B42B4E" w14:textId="77777777" w:rsidR="00521D92" w:rsidRDefault="00B01290" w:rsidP="000A769F">
            <w:pPr>
              <w:jc w:val="center"/>
            </w:pPr>
            <w:r>
              <w:t>5,80</w:t>
            </w:r>
            <w:r w:rsidR="00521D92">
              <w:t xml:space="preserve"> %</w:t>
            </w:r>
          </w:p>
        </w:tc>
        <w:tc>
          <w:tcPr>
            <w:tcW w:w="2649" w:type="dxa"/>
          </w:tcPr>
          <w:p w14:paraId="2FEE0968" w14:textId="77777777" w:rsidR="00521D92" w:rsidRDefault="00B01290" w:rsidP="000A769F">
            <w:pPr>
              <w:jc w:val="center"/>
            </w:pPr>
            <w:r>
              <w:t>5,0</w:t>
            </w:r>
            <w:r w:rsidR="00521D92">
              <w:t xml:space="preserve"> %</w:t>
            </w:r>
          </w:p>
        </w:tc>
      </w:tr>
      <w:tr w:rsidR="00DC2E54" w14:paraId="0E1052FC" w14:textId="77777777" w:rsidTr="00DC2E54">
        <w:tc>
          <w:tcPr>
            <w:tcW w:w="2736" w:type="dxa"/>
          </w:tcPr>
          <w:p w14:paraId="412CB891" w14:textId="77777777" w:rsidR="00DC2E54" w:rsidRDefault="00DC2E54" w:rsidP="000A769F">
            <w:pPr>
              <w:jc w:val="center"/>
            </w:pPr>
          </w:p>
        </w:tc>
        <w:tc>
          <w:tcPr>
            <w:tcW w:w="7946" w:type="dxa"/>
            <w:gridSpan w:val="3"/>
          </w:tcPr>
          <w:p w14:paraId="6BB15B81" w14:textId="77777777" w:rsidR="00DC2E54" w:rsidRDefault="00DC2E54" w:rsidP="000A769F">
            <w:pPr>
              <w:jc w:val="center"/>
            </w:pPr>
            <w:r>
              <w:t>Honoraires minimum 3 000 €</w:t>
            </w:r>
          </w:p>
        </w:tc>
      </w:tr>
      <w:tr w:rsidR="00DC2E54" w14:paraId="418F3C05" w14:textId="77777777" w:rsidTr="000A769F">
        <w:tc>
          <w:tcPr>
            <w:tcW w:w="10682" w:type="dxa"/>
            <w:gridSpan w:val="4"/>
          </w:tcPr>
          <w:p w14:paraId="234C4F69" w14:textId="28429BF2" w:rsidR="00DC2E54" w:rsidRPr="002865B6" w:rsidRDefault="00DC2E54" w:rsidP="00DC2E54">
            <w:pPr>
              <w:rPr>
                <w:sz w:val="20"/>
                <w:szCs w:val="20"/>
              </w:rPr>
            </w:pPr>
            <w:r w:rsidRPr="002865B6">
              <w:rPr>
                <w:b/>
                <w:sz w:val="20"/>
                <w:szCs w:val="20"/>
              </w:rPr>
              <w:t>**</w:t>
            </w:r>
            <w:r w:rsidRPr="002865B6">
              <w:rPr>
                <w:sz w:val="20"/>
                <w:szCs w:val="20"/>
              </w:rPr>
              <w:t xml:space="preserve"> Les honoraires sont un </w:t>
            </w:r>
            <w:r w:rsidRPr="002865B6">
              <w:rPr>
                <w:b/>
                <w:i/>
                <w:sz w:val="20"/>
                <w:szCs w:val="20"/>
              </w:rPr>
              <w:t>forfait</w:t>
            </w:r>
            <w:r w:rsidRPr="002865B6">
              <w:rPr>
                <w:sz w:val="20"/>
                <w:szCs w:val="20"/>
              </w:rPr>
              <w:t xml:space="preserve"> calculé sur le prix de vente FAI (frais d’agence inclus) et basé sur les pourcentages indiqués ci-dessus.</w:t>
            </w:r>
            <w:r w:rsidR="00CD1A82" w:rsidRPr="002865B6">
              <w:rPr>
                <w:sz w:val="20"/>
                <w:szCs w:val="20"/>
              </w:rPr>
              <w:t xml:space="preserve"> Ce forfait correspond au tarif maximum des honoraires.</w:t>
            </w:r>
          </w:p>
        </w:tc>
      </w:tr>
      <w:tr w:rsidR="00521D92" w14:paraId="72A557A5" w14:textId="77777777" w:rsidTr="00DC2E54">
        <w:tc>
          <w:tcPr>
            <w:tcW w:w="10682" w:type="dxa"/>
            <w:gridSpan w:val="4"/>
          </w:tcPr>
          <w:p w14:paraId="2EFE7398" w14:textId="77777777" w:rsidR="00521D92" w:rsidRPr="002865B6" w:rsidRDefault="00521D92" w:rsidP="00DC2E54">
            <w:pPr>
              <w:rPr>
                <w:b/>
                <w:sz w:val="20"/>
                <w:szCs w:val="20"/>
              </w:rPr>
            </w:pPr>
            <w:r w:rsidRPr="002865B6">
              <w:rPr>
                <w:b/>
                <w:i/>
                <w:sz w:val="20"/>
                <w:szCs w:val="20"/>
              </w:rPr>
              <w:t>Les honoraires de</w:t>
            </w:r>
            <w:r w:rsidR="00112780" w:rsidRPr="002865B6">
              <w:rPr>
                <w:b/>
                <w:i/>
                <w:sz w:val="20"/>
                <w:szCs w:val="20"/>
              </w:rPr>
              <w:t xml:space="preserve"> l’agence sont à la charge </w:t>
            </w:r>
            <w:r w:rsidRPr="002865B6">
              <w:rPr>
                <w:b/>
                <w:i/>
                <w:sz w:val="20"/>
                <w:szCs w:val="20"/>
              </w:rPr>
              <w:t>de l’acquéreur</w:t>
            </w:r>
            <w:r w:rsidR="00B9362F" w:rsidRPr="002865B6">
              <w:rPr>
                <w:b/>
                <w:i/>
                <w:sz w:val="20"/>
                <w:szCs w:val="20"/>
              </w:rPr>
              <w:t xml:space="preserve">. </w:t>
            </w:r>
            <w:r w:rsidR="00B9362F" w:rsidRPr="002865B6">
              <w:rPr>
                <w:sz w:val="20"/>
                <w:szCs w:val="20"/>
              </w:rPr>
              <w:t>En cas de délégation, les honoraires mentionnés sont ceux de l’agence qui détient le mandat initial.</w:t>
            </w:r>
          </w:p>
        </w:tc>
      </w:tr>
      <w:tr w:rsidR="00521D92" w14:paraId="0F7ABDAD" w14:textId="77777777" w:rsidTr="00DC2E54">
        <w:tc>
          <w:tcPr>
            <w:tcW w:w="10682" w:type="dxa"/>
            <w:gridSpan w:val="4"/>
          </w:tcPr>
          <w:p w14:paraId="4C205571" w14:textId="34B4439C" w:rsidR="00521D92" w:rsidRPr="002865B6" w:rsidRDefault="00521D92" w:rsidP="00092506">
            <w:pPr>
              <w:jc w:val="both"/>
              <w:rPr>
                <w:sz w:val="20"/>
                <w:szCs w:val="20"/>
              </w:rPr>
            </w:pPr>
            <w:r w:rsidRPr="002865B6">
              <w:rPr>
                <w:i/>
                <w:sz w:val="20"/>
                <w:szCs w:val="20"/>
              </w:rPr>
              <w:t xml:space="preserve">Tous les versements ou remises doivent donner lieu à la délivrance d’un reçu. Ce reçu est conforme à un modèle fixé par arrêté conjoint du garde des sceaux, ministre de la </w:t>
            </w:r>
            <w:r w:rsidR="00356810" w:rsidRPr="002865B6">
              <w:rPr>
                <w:i/>
                <w:sz w:val="20"/>
                <w:szCs w:val="20"/>
              </w:rPr>
              <w:t>Justice</w:t>
            </w:r>
            <w:r w:rsidRPr="002865B6">
              <w:rPr>
                <w:i/>
                <w:sz w:val="20"/>
                <w:szCs w:val="20"/>
              </w:rPr>
              <w:t xml:space="preserve">, et du ministre de </w:t>
            </w:r>
            <w:proofErr w:type="gramStart"/>
            <w:r w:rsidRPr="002865B6">
              <w:rPr>
                <w:i/>
                <w:sz w:val="20"/>
                <w:szCs w:val="20"/>
              </w:rPr>
              <w:t>l’économie</w:t>
            </w:r>
            <w:proofErr w:type="gramEnd"/>
            <w:r w:rsidRPr="002865B6">
              <w:rPr>
                <w:i/>
                <w:sz w:val="20"/>
                <w:szCs w:val="20"/>
              </w:rPr>
              <w:t xml:space="preserve"> et des finances. Un double du reçu demeure dans un carnet de reçu.</w:t>
            </w:r>
          </w:p>
        </w:tc>
      </w:tr>
    </w:tbl>
    <w:p w14:paraId="72CB3F5B" w14:textId="77777777" w:rsidR="003D2983" w:rsidRDefault="003D2983" w:rsidP="00356810">
      <w:pPr>
        <w:spacing w:after="0" w:line="240" w:lineRule="auto"/>
        <w:rPr>
          <w:sz w:val="18"/>
          <w:szCs w:val="18"/>
        </w:rPr>
      </w:pPr>
    </w:p>
    <w:p w14:paraId="0AD82E85" w14:textId="77777777" w:rsidR="00A239CC" w:rsidRDefault="00A239CC" w:rsidP="00356810">
      <w:pPr>
        <w:spacing w:after="0" w:line="240" w:lineRule="auto"/>
        <w:rPr>
          <w:sz w:val="18"/>
          <w:szCs w:val="18"/>
        </w:rPr>
      </w:pPr>
    </w:p>
    <w:p w14:paraId="1EF4093B" w14:textId="77777777" w:rsidR="00A239CC" w:rsidRDefault="00A239CC" w:rsidP="00356810">
      <w:pPr>
        <w:spacing w:after="0" w:line="240" w:lineRule="auto"/>
        <w:rPr>
          <w:sz w:val="18"/>
          <w:szCs w:val="18"/>
        </w:rPr>
      </w:pPr>
    </w:p>
    <w:p w14:paraId="53F86CBB" w14:textId="77777777" w:rsidR="00A239CC" w:rsidRDefault="00A239CC" w:rsidP="00356810">
      <w:pPr>
        <w:spacing w:after="0" w:line="240" w:lineRule="auto"/>
        <w:rPr>
          <w:sz w:val="18"/>
          <w:szCs w:val="18"/>
        </w:rPr>
      </w:pPr>
    </w:p>
    <w:p w14:paraId="72FA9734" w14:textId="77777777" w:rsidR="00A239CC" w:rsidRDefault="00A239CC" w:rsidP="00356810">
      <w:pPr>
        <w:spacing w:after="0" w:line="240" w:lineRule="auto"/>
        <w:rPr>
          <w:sz w:val="18"/>
          <w:szCs w:val="18"/>
        </w:rPr>
      </w:pPr>
    </w:p>
    <w:p w14:paraId="77D0C5EA" w14:textId="77777777" w:rsidR="00A239CC" w:rsidRDefault="00A239CC" w:rsidP="00356810">
      <w:pPr>
        <w:spacing w:after="0" w:line="240" w:lineRule="auto"/>
        <w:rPr>
          <w:sz w:val="18"/>
          <w:szCs w:val="18"/>
        </w:rPr>
      </w:pPr>
    </w:p>
    <w:p w14:paraId="49A40EDF" w14:textId="77777777" w:rsidR="00A239CC" w:rsidRDefault="00A239CC" w:rsidP="00356810">
      <w:pPr>
        <w:spacing w:after="0" w:line="240" w:lineRule="auto"/>
        <w:rPr>
          <w:sz w:val="18"/>
          <w:szCs w:val="18"/>
        </w:rPr>
      </w:pPr>
    </w:p>
    <w:p w14:paraId="1C08B587" w14:textId="77777777" w:rsidR="00A239CC" w:rsidRDefault="00A239CC" w:rsidP="00356810">
      <w:pPr>
        <w:spacing w:after="0" w:line="240" w:lineRule="auto"/>
        <w:rPr>
          <w:sz w:val="18"/>
          <w:szCs w:val="18"/>
        </w:rPr>
      </w:pPr>
    </w:p>
    <w:tbl>
      <w:tblPr>
        <w:tblStyle w:val="Grilledutableau"/>
        <w:tblW w:w="10682" w:type="dxa"/>
        <w:tblLook w:val="04A0" w:firstRow="1" w:lastRow="0" w:firstColumn="1" w:lastColumn="0" w:noHBand="0" w:noVBand="1"/>
      </w:tblPr>
      <w:tblGrid>
        <w:gridCol w:w="8755"/>
        <w:gridCol w:w="963"/>
        <w:gridCol w:w="29"/>
        <w:gridCol w:w="935"/>
      </w:tblGrid>
      <w:tr w:rsidR="00A239CC" w14:paraId="473A5043" w14:textId="77777777" w:rsidTr="00F445A4">
        <w:tc>
          <w:tcPr>
            <w:tcW w:w="10682" w:type="dxa"/>
            <w:gridSpan w:val="4"/>
            <w:shd w:val="clear" w:color="auto" w:fill="D20025"/>
          </w:tcPr>
          <w:p w14:paraId="1FA9915D" w14:textId="77777777" w:rsidR="00A239CC" w:rsidRPr="00B86BB4" w:rsidRDefault="00A239CC" w:rsidP="00F445A4">
            <w:pPr>
              <w:jc w:val="center"/>
              <w:rPr>
                <w:b/>
                <w:color w:val="FFFFFF" w:themeColor="background1"/>
              </w:rPr>
            </w:pPr>
            <w:r>
              <w:rPr>
                <w:b/>
                <w:color w:val="FFFFFF" w:themeColor="background1"/>
              </w:rPr>
              <w:t>BAREME DES HONORAIRES AU 1</w:t>
            </w:r>
            <w:r w:rsidRPr="00E81117">
              <w:rPr>
                <w:b/>
                <w:color w:val="FFFFFF" w:themeColor="background1"/>
                <w:vertAlign w:val="superscript"/>
              </w:rPr>
              <w:t>er</w:t>
            </w:r>
            <w:r>
              <w:rPr>
                <w:b/>
                <w:color w:val="FFFFFF" w:themeColor="background1"/>
              </w:rPr>
              <w:t xml:space="preserve"> </w:t>
            </w:r>
            <w:proofErr w:type="gramStart"/>
            <w:r>
              <w:rPr>
                <w:b/>
                <w:color w:val="FFFFFF" w:themeColor="background1"/>
              </w:rPr>
              <w:t>Février</w:t>
            </w:r>
            <w:proofErr w:type="gramEnd"/>
            <w:r>
              <w:rPr>
                <w:b/>
                <w:color w:val="FFFFFF" w:themeColor="background1"/>
              </w:rPr>
              <w:t xml:space="preserve"> 2023 - SYNDIC DE COPROPRIETE</w:t>
            </w:r>
          </w:p>
        </w:tc>
      </w:tr>
      <w:tr w:rsidR="00A239CC" w14:paraId="00DC087C" w14:textId="77777777" w:rsidTr="00F445A4">
        <w:tc>
          <w:tcPr>
            <w:tcW w:w="10682" w:type="dxa"/>
            <w:gridSpan w:val="4"/>
            <w:tcBorders>
              <w:bottom w:val="single" w:sz="4" w:space="0" w:color="auto"/>
            </w:tcBorders>
          </w:tcPr>
          <w:p w14:paraId="2325EC04" w14:textId="77777777" w:rsidR="00A239CC" w:rsidRPr="00281B79" w:rsidRDefault="00A239CC" w:rsidP="00F445A4">
            <w:pPr>
              <w:rPr>
                <w:sz w:val="4"/>
                <w:szCs w:val="4"/>
              </w:rPr>
            </w:pPr>
          </w:p>
        </w:tc>
      </w:tr>
      <w:tr w:rsidR="00A239CC" w:rsidRPr="00281B79" w14:paraId="2F1ACA66" w14:textId="77777777" w:rsidTr="00F445A4">
        <w:tc>
          <w:tcPr>
            <w:tcW w:w="10682" w:type="dxa"/>
            <w:gridSpan w:val="4"/>
            <w:shd w:val="clear" w:color="auto" w:fill="A6A6A6" w:themeFill="background1" w:themeFillShade="A6"/>
          </w:tcPr>
          <w:p w14:paraId="143E24E9" w14:textId="77777777" w:rsidR="00A239CC" w:rsidRPr="00281B79" w:rsidRDefault="00A239CC" w:rsidP="00F445A4">
            <w:pPr>
              <w:jc w:val="center"/>
              <w:rPr>
                <w:sz w:val="20"/>
                <w:szCs w:val="20"/>
              </w:rPr>
            </w:pPr>
            <w:r w:rsidRPr="00281B79">
              <w:rPr>
                <w:sz w:val="20"/>
                <w:szCs w:val="20"/>
              </w:rPr>
              <w:t>REMUNERATION FORFAITAIRE DES PRESTATIONS DE GESTION COURANTE ANNUELLE</w:t>
            </w:r>
          </w:p>
        </w:tc>
      </w:tr>
      <w:tr w:rsidR="00A239CC" w14:paraId="2BFCDDB0" w14:textId="77777777" w:rsidTr="00F445A4">
        <w:tc>
          <w:tcPr>
            <w:tcW w:w="8755" w:type="dxa"/>
          </w:tcPr>
          <w:p w14:paraId="31D38289" w14:textId="77777777" w:rsidR="00A239CC" w:rsidRPr="000212A1" w:rsidRDefault="00A239CC" w:rsidP="00F445A4">
            <w:pPr>
              <w:rPr>
                <w:sz w:val="18"/>
                <w:szCs w:val="18"/>
              </w:rPr>
            </w:pPr>
          </w:p>
        </w:tc>
        <w:tc>
          <w:tcPr>
            <w:tcW w:w="992" w:type="dxa"/>
            <w:gridSpan w:val="2"/>
            <w:vAlign w:val="center"/>
          </w:tcPr>
          <w:p w14:paraId="1A438AF1" w14:textId="77777777" w:rsidR="00A239CC" w:rsidRPr="000212A1" w:rsidRDefault="00A239CC" w:rsidP="00F445A4">
            <w:pPr>
              <w:jc w:val="center"/>
              <w:rPr>
                <w:sz w:val="18"/>
                <w:szCs w:val="18"/>
              </w:rPr>
            </w:pPr>
            <w:r w:rsidRPr="000212A1">
              <w:rPr>
                <w:sz w:val="18"/>
                <w:szCs w:val="18"/>
              </w:rPr>
              <w:t>HT</w:t>
            </w:r>
          </w:p>
        </w:tc>
        <w:tc>
          <w:tcPr>
            <w:tcW w:w="935" w:type="dxa"/>
            <w:vAlign w:val="center"/>
          </w:tcPr>
          <w:p w14:paraId="2C35EE1F" w14:textId="77777777" w:rsidR="00A239CC" w:rsidRPr="000212A1" w:rsidRDefault="00A239CC" w:rsidP="00F445A4">
            <w:pPr>
              <w:jc w:val="center"/>
              <w:rPr>
                <w:sz w:val="18"/>
                <w:szCs w:val="18"/>
              </w:rPr>
            </w:pPr>
            <w:r w:rsidRPr="000212A1">
              <w:rPr>
                <w:sz w:val="18"/>
                <w:szCs w:val="18"/>
              </w:rPr>
              <w:t>TTC</w:t>
            </w:r>
            <w:r>
              <w:rPr>
                <w:sz w:val="18"/>
                <w:szCs w:val="18"/>
              </w:rPr>
              <w:t>*</w:t>
            </w:r>
          </w:p>
        </w:tc>
      </w:tr>
      <w:tr w:rsidR="00A239CC" w14:paraId="63D6ED74" w14:textId="77777777" w:rsidTr="00F445A4">
        <w:tc>
          <w:tcPr>
            <w:tcW w:w="10682" w:type="dxa"/>
            <w:gridSpan w:val="4"/>
            <w:shd w:val="clear" w:color="auto" w:fill="D9D9D9" w:themeFill="background1" w:themeFillShade="D9"/>
          </w:tcPr>
          <w:p w14:paraId="1ED17089" w14:textId="77777777" w:rsidR="00A239CC" w:rsidRPr="00281B79" w:rsidRDefault="00A239CC" w:rsidP="00F445A4">
            <w:pPr>
              <w:rPr>
                <w:sz w:val="18"/>
                <w:szCs w:val="18"/>
              </w:rPr>
            </w:pPr>
            <w:r w:rsidRPr="00281B79">
              <w:rPr>
                <w:sz w:val="18"/>
                <w:szCs w:val="18"/>
              </w:rPr>
              <w:t>Honoraires par lots principaux gérés</w:t>
            </w:r>
          </w:p>
        </w:tc>
      </w:tr>
      <w:tr w:rsidR="00A239CC" w14:paraId="057CBC77" w14:textId="77777777" w:rsidTr="00F445A4">
        <w:tc>
          <w:tcPr>
            <w:tcW w:w="8755" w:type="dxa"/>
          </w:tcPr>
          <w:p w14:paraId="47606DBE" w14:textId="77777777" w:rsidR="00A239CC" w:rsidRPr="00281B79" w:rsidRDefault="00A239CC" w:rsidP="00F445A4">
            <w:pPr>
              <w:rPr>
                <w:sz w:val="16"/>
                <w:szCs w:val="16"/>
              </w:rPr>
            </w:pPr>
            <w:r w:rsidRPr="00281B79">
              <w:rPr>
                <w:sz w:val="16"/>
                <w:szCs w:val="16"/>
              </w:rPr>
              <w:t>De 2</w:t>
            </w:r>
            <w:r>
              <w:rPr>
                <w:sz w:val="16"/>
                <w:szCs w:val="16"/>
              </w:rPr>
              <w:t xml:space="preserve"> à 15 lots (Forfait minimum 800</w:t>
            </w:r>
            <w:r w:rsidRPr="00281B79">
              <w:rPr>
                <w:sz w:val="16"/>
                <w:szCs w:val="16"/>
              </w:rPr>
              <w:t xml:space="preserve"> € HT</w:t>
            </w:r>
            <w:r>
              <w:rPr>
                <w:sz w:val="16"/>
                <w:szCs w:val="16"/>
              </w:rPr>
              <w:t xml:space="preserve"> soit 960 € TTC</w:t>
            </w:r>
            <w:r w:rsidRPr="00281B79">
              <w:rPr>
                <w:sz w:val="16"/>
                <w:szCs w:val="16"/>
              </w:rPr>
              <w:t>)</w:t>
            </w:r>
          </w:p>
        </w:tc>
        <w:tc>
          <w:tcPr>
            <w:tcW w:w="992" w:type="dxa"/>
            <w:gridSpan w:val="2"/>
            <w:vAlign w:val="center"/>
          </w:tcPr>
          <w:p w14:paraId="595EF826" w14:textId="77777777" w:rsidR="00A239CC" w:rsidRPr="000212A1" w:rsidRDefault="00A239CC" w:rsidP="00F445A4">
            <w:pPr>
              <w:jc w:val="center"/>
              <w:rPr>
                <w:sz w:val="18"/>
                <w:szCs w:val="18"/>
              </w:rPr>
            </w:pPr>
            <w:r w:rsidRPr="000212A1">
              <w:rPr>
                <w:sz w:val="18"/>
                <w:szCs w:val="18"/>
              </w:rPr>
              <w:t>180 €</w:t>
            </w:r>
          </w:p>
        </w:tc>
        <w:tc>
          <w:tcPr>
            <w:tcW w:w="935" w:type="dxa"/>
            <w:vAlign w:val="center"/>
          </w:tcPr>
          <w:p w14:paraId="2B62B9C0" w14:textId="77777777" w:rsidR="00A239CC" w:rsidRPr="000212A1" w:rsidRDefault="00A239CC" w:rsidP="00F445A4">
            <w:pPr>
              <w:jc w:val="center"/>
              <w:rPr>
                <w:sz w:val="18"/>
                <w:szCs w:val="18"/>
              </w:rPr>
            </w:pPr>
            <w:r>
              <w:rPr>
                <w:sz w:val="18"/>
                <w:szCs w:val="18"/>
              </w:rPr>
              <w:t>216 €</w:t>
            </w:r>
          </w:p>
        </w:tc>
      </w:tr>
      <w:tr w:rsidR="00A239CC" w14:paraId="04D7BA2A" w14:textId="77777777" w:rsidTr="00F445A4">
        <w:tc>
          <w:tcPr>
            <w:tcW w:w="8755" w:type="dxa"/>
          </w:tcPr>
          <w:p w14:paraId="1D56E02C" w14:textId="77777777" w:rsidR="00A239CC" w:rsidRPr="00281B79" w:rsidRDefault="00A239CC" w:rsidP="00F445A4">
            <w:pPr>
              <w:rPr>
                <w:sz w:val="16"/>
                <w:szCs w:val="16"/>
              </w:rPr>
            </w:pPr>
            <w:r>
              <w:rPr>
                <w:sz w:val="16"/>
                <w:szCs w:val="16"/>
              </w:rPr>
              <w:t>De 16 à 25</w:t>
            </w:r>
            <w:r w:rsidRPr="00281B79">
              <w:rPr>
                <w:sz w:val="16"/>
                <w:szCs w:val="16"/>
              </w:rPr>
              <w:t xml:space="preserve"> lots</w:t>
            </w:r>
          </w:p>
        </w:tc>
        <w:tc>
          <w:tcPr>
            <w:tcW w:w="992" w:type="dxa"/>
            <w:gridSpan w:val="2"/>
            <w:vAlign w:val="center"/>
          </w:tcPr>
          <w:p w14:paraId="28E2C1A4" w14:textId="77777777" w:rsidR="00A239CC" w:rsidRPr="000212A1" w:rsidRDefault="00A239CC" w:rsidP="00F445A4">
            <w:pPr>
              <w:jc w:val="center"/>
              <w:rPr>
                <w:sz w:val="18"/>
                <w:szCs w:val="18"/>
              </w:rPr>
            </w:pPr>
            <w:r w:rsidRPr="000212A1">
              <w:rPr>
                <w:sz w:val="18"/>
                <w:szCs w:val="18"/>
              </w:rPr>
              <w:t>150 €</w:t>
            </w:r>
          </w:p>
        </w:tc>
        <w:tc>
          <w:tcPr>
            <w:tcW w:w="935" w:type="dxa"/>
            <w:vAlign w:val="center"/>
          </w:tcPr>
          <w:p w14:paraId="1E2B7943" w14:textId="77777777" w:rsidR="00A239CC" w:rsidRPr="000212A1" w:rsidRDefault="00A239CC" w:rsidP="00F445A4">
            <w:pPr>
              <w:jc w:val="center"/>
              <w:rPr>
                <w:sz w:val="18"/>
                <w:szCs w:val="18"/>
              </w:rPr>
            </w:pPr>
            <w:r>
              <w:rPr>
                <w:sz w:val="18"/>
                <w:szCs w:val="18"/>
              </w:rPr>
              <w:t>180 €</w:t>
            </w:r>
          </w:p>
        </w:tc>
      </w:tr>
      <w:tr w:rsidR="00A239CC" w14:paraId="6390B58D" w14:textId="77777777" w:rsidTr="00F445A4">
        <w:tc>
          <w:tcPr>
            <w:tcW w:w="8755" w:type="dxa"/>
          </w:tcPr>
          <w:p w14:paraId="630D80EC" w14:textId="77777777" w:rsidR="00A239CC" w:rsidRPr="00281B79" w:rsidRDefault="00A239CC" w:rsidP="00F445A4">
            <w:pPr>
              <w:rPr>
                <w:sz w:val="16"/>
                <w:szCs w:val="16"/>
              </w:rPr>
            </w:pPr>
            <w:r>
              <w:rPr>
                <w:sz w:val="16"/>
                <w:szCs w:val="16"/>
              </w:rPr>
              <w:t>Plus de 25</w:t>
            </w:r>
            <w:r w:rsidRPr="00281B79">
              <w:rPr>
                <w:sz w:val="16"/>
                <w:szCs w:val="16"/>
              </w:rPr>
              <w:t xml:space="preserve"> lots</w:t>
            </w:r>
          </w:p>
        </w:tc>
        <w:tc>
          <w:tcPr>
            <w:tcW w:w="1927" w:type="dxa"/>
            <w:gridSpan w:val="3"/>
            <w:vAlign w:val="center"/>
          </w:tcPr>
          <w:p w14:paraId="1817C942" w14:textId="77777777" w:rsidR="00A239CC" w:rsidRPr="000212A1" w:rsidRDefault="00A239CC" w:rsidP="00F445A4">
            <w:pPr>
              <w:jc w:val="center"/>
              <w:rPr>
                <w:sz w:val="18"/>
                <w:szCs w:val="18"/>
              </w:rPr>
            </w:pPr>
            <w:r>
              <w:rPr>
                <w:sz w:val="18"/>
                <w:szCs w:val="18"/>
              </w:rPr>
              <w:t>Sur devis</w:t>
            </w:r>
          </w:p>
        </w:tc>
      </w:tr>
      <w:tr w:rsidR="00A239CC" w14:paraId="12919954" w14:textId="77777777" w:rsidTr="00F445A4">
        <w:tc>
          <w:tcPr>
            <w:tcW w:w="10682" w:type="dxa"/>
            <w:gridSpan w:val="4"/>
            <w:tcBorders>
              <w:bottom w:val="single" w:sz="4" w:space="0" w:color="auto"/>
            </w:tcBorders>
          </w:tcPr>
          <w:p w14:paraId="4191D47D" w14:textId="77777777" w:rsidR="00A239CC" w:rsidRPr="00281B79" w:rsidRDefault="00A239CC" w:rsidP="00F445A4">
            <w:pPr>
              <w:rPr>
                <w:sz w:val="4"/>
                <w:szCs w:val="4"/>
              </w:rPr>
            </w:pPr>
          </w:p>
        </w:tc>
      </w:tr>
      <w:tr w:rsidR="00A239CC" w14:paraId="6D508A03" w14:textId="77777777" w:rsidTr="00F445A4">
        <w:tc>
          <w:tcPr>
            <w:tcW w:w="10682" w:type="dxa"/>
            <w:gridSpan w:val="4"/>
            <w:shd w:val="clear" w:color="auto" w:fill="A6A6A6" w:themeFill="background1" w:themeFillShade="A6"/>
          </w:tcPr>
          <w:p w14:paraId="76B3DDCA" w14:textId="77777777" w:rsidR="00A239CC" w:rsidRPr="00281B79" w:rsidRDefault="00A239CC" w:rsidP="00F445A4">
            <w:pPr>
              <w:jc w:val="center"/>
              <w:rPr>
                <w:sz w:val="20"/>
                <w:szCs w:val="20"/>
              </w:rPr>
            </w:pPr>
            <w:r w:rsidRPr="00281B79">
              <w:rPr>
                <w:sz w:val="20"/>
                <w:szCs w:val="20"/>
              </w:rPr>
              <w:t>AUTRES PRESTATIONS VARIABLES IMPUTABLES AU SYNDICAT</w:t>
            </w:r>
          </w:p>
        </w:tc>
      </w:tr>
      <w:tr w:rsidR="00A239CC" w14:paraId="502A298A" w14:textId="77777777" w:rsidTr="00F445A4">
        <w:tc>
          <w:tcPr>
            <w:tcW w:w="8755" w:type="dxa"/>
          </w:tcPr>
          <w:p w14:paraId="45CB8A0E" w14:textId="77777777" w:rsidR="00A239CC" w:rsidRPr="000212A1" w:rsidRDefault="00A239CC" w:rsidP="00F445A4">
            <w:pPr>
              <w:rPr>
                <w:sz w:val="18"/>
                <w:szCs w:val="18"/>
              </w:rPr>
            </w:pPr>
          </w:p>
        </w:tc>
        <w:tc>
          <w:tcPr>
            <w:tcW w:w="992" w:type="dxa"/>
            <w:gridSpan w:val="2"/>
            <w:vAlign w:val="center"/>
          </w:tcPr>
          <w:p w14:paraId="2C7C0365" w14:textId="77777777" w:rsidR="00A239CC" w:rsidRPr="000212A1" w:rsidRDefault="00A239CC" w:rsidP="00F445A4">
            <w:pPr>
              <w:jc w:val="center"/>
              <w:rPr>
                <w:sz w:val="18"/>
                <w:szCs w:val="18"/>
              </w:rPr>
            </w:pPr>
            <w:r w:rsidRPr="000212A1">
              <w:rPr>
                <w:sz w:val="18"/>
                <w:szCs w:val="18"/>
              </w:rPr>
              <w:t>HT</w:t>
            </w:r>
          </w:p>
        </w:tc>
        <w:tc>
          <w:tcPr>
            <w:tcW w:w="935" w:type="dxa"/>
            <w:vAlign w:val="center"/>
          </w:tcPr>
          <w:p w14:paraId="2C9AF809" w14:textId="77777777" w:rsidR="00A239CC" w:rsidRPr="000212A1" w:rsidRDefault="00A239CC" w:rsidP="00F445A4">
            <w:pPr>
              <w:jc w:val="center"/>
              <w:rPr>
                <w:sz w:val="18"/>
                <w:szCs w:val="18"/>
              </w:rPr>
            </w:pPr>
            <w:r w:rsidRPr="000212A1">
              <w:rPr>
                <w:sz w:val="18"/>
                <w:szCs w:val="18"/>
              </w:rPr>
              <w:t>TTC</w:t>
            </w:r>
            <w:r>
              <w:rPr>
                <w:sz w:val="18"/>
                <w:szCs w:val="18"/>
              </w:rPr>
              <w:t>*</w:t>
            </w:r>
          </w:p>
        </w:tc>
      </w:tr>
      <w:tr w:rsidR="00A239CC" w14:paraId="1B27E2D8" w14:textId="77777777" w:rsidTr="00F445A4">
        <w:tc>
          <w:tcPr>
            <w:tcW w:w="10682" w:type="dxa"/>
            <w:gridSpan w:val="4"/>
            <w:shd w:val="clear" w:color="auto" w:fill="D9D9D9" w:themeFill="background1" w:themeFillShade="D9"/>
          </w:tcPr>
          <w:p w14:paraId="7C887CC7" w14:textId="77777777" w:rsidR="00A239CC" w:rsidRPr="000212A1" w:rsidRDefault="00A239CC" w:rsidP="00F445A4">
            <w:pPr>
              <w:rPr>
                <w:sz w:val="18"/>
                <w:szCs w:val="18"/>
              </w:rPr>
            </w:pPr>
            <w:r w:rsidRPr="000212A1">
              <w:rPr>
                <w:sz w:val="18"/>
                <w:szCs w:val="18"/>
              </w:rPr>
              <w:t>Vacation horaire (appliquée au prorata du temps passé)</w:t>
            </w:r>
          </w:p>
        </w:tc>
      </w:tr>
      <w:tr w:rsidR="00A239CC" w14:paraId="518328FC" w14:textId="77777777" w:rsidTr="00F445A4">
        <w:tc>
          <w:tcPr>
            <w:tcW w:w="8755" w:type="dxa"/>
          </w:tcPr>
          <w:p w14:paraId="64363861" w14:textId="77777777" w:rsidR="00A239CC" w:rsidRPr="000212A1" w:rsidRDefault="00A239CC" w:rsidP="00F445A4">
            <w:pPr>
              <w:rPr>
                <w:sz w:val="16"/>
                <w:szCs w:val="16"/>
              </w:rPr>
            </w:pPr>
            <w:r w:rsidRPr="000212A1">
              <w:rPr>
                <w:sz w:val="16"/>
                <w:szCs w:val="16"/>
              </w:rPr>
              <w:t xml:space="preserve">Aux heures ouvrables (du Lundi au </w:t>
            </w:r>
            <w:proofErr w:type="gramStart"/>
            <w:r w:rsidRPr="000212A1">
              <w:rPr>
                <w:sz w:val="16"/>
                <w:szCs w:val="16"/>
              </w:rPr>
              <w:t>Samedi  de</w:t>
            </w:r>
            <w:proofErr w:type="gramEnd"/>
            <w:r w:rsidRPr="000212A1">
              <w:rPr>
                <w:sz w:val="16"/>
                <w:szCs w:val="16"/>
              </w:rPr>
              <w:t xml:space="preserve">  9h00 à 12h00 et  14h00 à 18h00)</w:t>
            </w:r>
          </w:p>
        </w:tc>
        <w:tc>
          <w:tcPr>
            <w:tcW w:w="992" w:type="dxa"/>
            <w:gridSpan w:val="2"/>
            <w:vAlign w:val="center"/>
          </w:tcPr>
          <w:p w14:paraId="0F1DDF1F" w14:textId="77777777" w:rsidR="00A239CC" w:rsidRPr="000212A1" w:rsidRDefault="00A239CC" w:rsidP="00F445A4">
            <w:pPr>
              <w:jc w:val="center"/>
              <w:rPr>
                <w:sz w:val="18"/>
                <w:szCs w:val="18"/>
              </w:rPr>
            </w:pPr>
            <w:r w:rsidRPr="000212A1">
              <w:rPr>
                <w:sz w:val="18"/>
                <w:szCs w:val="18"/>
              </w:rPr>
              <w:t>60 €</w:t>
            </w:r>
          </w:p>
        </w:tc>
        <w:tc>
          <w:tcPr>
            <w:tcW w:w="935" w:type="dxa"/>
            <w:vAlign w:val="center"/>
          </w:tcPr>
          <w:p w14:paraId="080561BC" w14:textId="77777777" w:rsidR="00A239CC" w:rsidRPr="000212A1" w:rsidRDefault="00A239CC" w:rsidP="00F445A4">
            <w:pPr>
              <w:jc w:val="center"/>
              <w:rPr>
                <w:sz w:val="18"/>
                <w:szCs w:val="18"/>
              </w:rPr>
            </w:pPr>
            <w:r w:rsidRPr="000212A1">
              <w:rPr>
                <w:sz w:val="18"/>
                <w:szCs w:val="18"/>
              </w:rPr>
              <w:t>72 €</w:t>
            </w:r>
          </w:p>
        </w:tc>
      </w:tr>
      <w:tr w:rsidR="00A239CC" w14:paraId="311B977E" w14:textId="77777777" w:rsidTr="00F445A4">
        <w:tc>
          <w:tcPr>
            <w:tcW w:w="8755" w:type="dxa"/>
          </w:tcPr>
          <w:p w14:paraId="2FC83486" w14:textId="77777777" w:rsidR="00A239CC" w:rsidRPr="000212A1" w:rsidRDefault="00A239CC" w:rsidP="00F445A4">
            <w:pPr>
              <w:rPr>
                <w:sz w:val="16"/>
                <w:szCs w:val="16"/>
              </w:rPr>
            </w:pPr>
            <w:r w:rsidRPr="000212A1">
              <w:rPr>
                <w:sz w:val="16"/>
                <w:szCs w:val="16"/>
              </w:rPr>
              <w:t>En dehors des heures ouvrables</w:t>
            </w:r>
          </w:p>
        </w:tc>
        <w:tc>
          <w:tcPr>
            <w:tcW w:w="992" w:type="dxa"/>
            <w:gridSpan w:val="2"/>
            <w:vAlign w:val="center"/>
          </w:tcPr>
          <w:p w14:paraId="2E93BE84" w14:textId="77777777" w:rsidR="00A239CC" w:rsidRPr="000212A1" w:rsidRDefault="00A239CC" w:rsidP="00F445A4">
            <w:pPr>
              <w:jc w:val="center"/>
              <w:rPr>
                <w:sz w:val="18"/>
                <w:szCs w:val="18"/>
              </w:rPr>
            </w:pPr>
            <w:r w:rsidRPr="000212A1">
              <w:rPr>
                <w:sz w:val="18"/>
                <w:szCs w:val="18"/>
              </w:rPr>
              <w:t>90 €</w:t>
            </w:r>
          </w:p>
        </w:tc>
        <w:tc>
          <w:tcPr>
            <w:tcW w:w="935" w:type="dxa"/>
            <w:vAlign w:val="center"/>
          </w:tcPr>
          <w:p w14:paraId="75008C84" w14:textId="77777777" w:rsidR="00A239CC" w:rsidRPr="000212A1" w:rsidRDefault="00A239CC" w:rsidP="00F445A4">
            <w:pPr>
              <w:jc w:val="center"/>
              <w:rPr>
                <w:sz w:val="18"/>
                <w:szCs w:val="18"/>
              </w:rPr>
            </w:pPr>
            <w:r>
              <w:rPr>
                <w:sz w:val="18"/>
                <w:szCs w:val="18"/>
              </w:rPr>
              <w:t>108 €</w:t>
            </w:r>
          </w:p>
        </w:tc>
      </w:tr>
      <w:tr w:rsidR="00A239CC" w14:paraId="421610C2" w14:textId="77777777" w:rsidTr="00F445A4">
        <w:tc>
          <w:tcPr>
            <w:tcW w:w="10682" w:type="dxa"/>
            <w:gridSpan w:val="4"/>
            <w:shd w:val="clear" w:color="auto" w:fill="D9D9D9" w:themeFill="background1" w:themeFillShade="D9"/>
          </w:tcPr>
          <w:p w14:paraId="0A8F9A10" w14:textId="77777777" w:rsidR="00A239CC" w:rsidRPr="000212A1" w:rsidRDefault="00A239CC" w:rsidP="00F445A4">
            <w:pPr>
              <w:rPr>
                <w:sz w:val="18"/>
                <w:szCs w:val="18"/>
              </w:rPr>
            </w:pPr>
            <w:r w:rsidRPr="000212A1">
              <w:rPr>
                <w:sz w:val="18"/>
                <w:szCs w:val="18"/>
              </w:rPr>
              <w:t>Prestations relatives aux réunions et visites supplémentaires</w:t>
            </w:r>
          </w:p>
        </w:tc>
      </w:tr>
      <w:tr w:rsidR="00A239CC" w14:paraId="54FBB60C" w14:textId="77777777" w:rsidTr="00F445A4">
        <w:tc>
          <w:tcPr>
            <w:tcW w:w="8755" w:type="dxa"/>
          </w:tcPr>
          <w:p w14:paraId="638DBE1D"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La préparation, la convocation et la tenue d'une assemblée générale supplémentaire d’une heure</w:t>
            </w:r>
            <w:r>
              <w:rPr>
                <w:rFonts w:eastAsia="Times New Roman" w:cstheme="minorHAnsi"/>
                <w:color w:val="333333"/>
                <w:sz w:val="16"/>
                <w:szCs w:val="16"/>
                <w:shd w:val="clear" w:color="auto" w:fill="FFFFFF"/>
                <w:lang w:eastAsia="fr-FR"/>
              </w:rPr>
              <w:t xml:space="preserve"> **</w:t>
            </w:r>
            <w:r w:rsidRPr="000212A1">
              <w:rPr>
                <w:rFonts w:eastAsia="Times New Roman" w:cstheme="minorHAnsi"/>
                <w:color w:val="333333"/>
                <w:sz w:val="16"/>
                <w:szCs w:val="16"/>
                <w:shd w:val="clear" w:color="auto" w:fill="FFFFFF"/>
                <w:lang w:eastAsia="fr-FR"/>
              </w:rPr>
              <w:t>, à l’intérieur d’une plage horaire allant de 9h à 12h et 14h à 18h. Coût par lot prin</w:t>
            </w:r>
            <w:r>
              <w:rPr>
                <w:rFonts w:eastAsia="Times New Roman" w:cstheme="minorHAnsi"/>
                <w:color w:val="333333"/>
                <w:sz w:val="16"/>
                <w:szCs w:val="16"/>
                <w:shd w:val="clear" w:color="auto" w:fill="FFFFFF"/>
                <w:lang w:eastAsia="fr-FR"/>
              </w:rPr>
              <w:t xml:space="preserve">cipal. (Forfait minimum de 200 </w:t>
            </w:r>
            <w:r w:rsidRPr="000212A1">
              <w:rPr>
                <w:rFonts w:eastAsia="Times New Roman" w:cstheme="minorHAnsi"/>
                <w:color w:val="333333"/>
                <w:sz w:val="16"/>
                <w:szCs w:val="16"/>
                <w:shd w:val="clear" w:color="auto" w:fill="FFFFFF"/>
                <w:lang w:eastAsia="fr-FR"/>
              </w:rPr>
              <w:t>€</w:t>
            </w:r>
            <w:r>
              <w:rPr>
                <w:rFonts w:eastAsia="Times New Roman" w:cstheme="minorHAnsi"/>
                <w:color w:val="333333"/>
                <w:sz w:val="16"/>
                <w:szCs w:val="16"/>
                <w:shd w:val="clear" w:color="auto" w:fill="FFFFFF"/>
                <w:lang w:eastAsia="fr-FR"/>
              </w:rPr>
              <w:t xml:space="preserve"> HT soit 220 € TTC)</w:t>
            </w:r>
            <w:r w:rsidRPr="000212A1">
              <w:rPr>
                <w:rFonts w:eastAsia="Times New Roman" w:cstheme="minorHAnsi"/>
                <w:color w:val="333333"/>
                <w:sz w:val="16"/>
                <w:szCs w:val="16"/>
                <w:shd w:val="clear" w:color="auto" w:fill="FFFFFF"/>
                <w:lang w:eastAsia="fr-FR"/>
              </w:rPr>
              <w:t xml:space="preserve">. </w:t>
            </w:r>
          </w:p>
        </w:tc>
        <w:tc>
          <w:tcPr>
            <w:tcW w:w="992" w:type="dxa"/>
            <w:gridSpan w:val="2"/>
            <w:vAlign w:val="center"/>
          </w:tcPr>
          <w:p w14:paraId="4FC33DFE" w14:textId="77777777" w:rsidR="00A239CC" w:rsidRPr="000212A1" w:rsidRDefault="00A239CC" w:rsidP="00F445A4">
            <w:pPr>
              <w:jc w:val="center"/>
              <w:rPr>
                <w:sz w:val="18"/>
                <w:szCs w:val="18"/>
              </w:rPr>
            </w:pPr>
            <w:r>
              <w:rPr>
                <w:sz w:val="18"/>
                <w:szCs w:val="18"/>
              </w:rPr>
              <w:t xml:space="preserve">9 </w:t>
            </w:r>
            <w:r w:rsidRPr="000212A1">
              <w:rPr>
                <w:sz w:val="18"/>
                <w:szCs w:val="18"/>
              </w:rPr>
              <w:t>€</w:t>
            </w:r>
          </w:p>
        </w:tc>
        <w:tc>
          <w:tcPr>
            <w:tcW w:w="935" w:type="dxa"/>
            <w:vAlign w:val="center"/>
          </w:tcPr>
          <w:p w14:paraId="102E22DA" w14:textId="77777777" w:rsidR="00A239CC" w:rsidRPr="000212A1" w:rsidRDefault="00A239CC" w:rsidP="00F445A4">
            <w:pPr>
              <w:jc w:val="center"/>
              <w:rPr>
                <w:sz w:val="18"/>
                <w:szCs w:val="18"/>
              </w:rPr>
            </w:pPr>
            <w:r>
              <w:rPr>
                <w:sz w:val="18"/>
                <w:szCs w:val="18"/>
              </w:rPr>
              <w:t xml:space="preserve">10,80 </w:t>
            </w:r>
            <w:r w:rsidRPr="000212A1">
              <w:rPr>
                <w:sz w:val="18"/>
                <w:szCs w:val="18"/>
              </w:rPr>
              <w:t>€</w:t>
            </w:r>
          </w:p>
        </w:tc>
      </w:tr>
      <w:tr w:rsidR="00A239CC" w14:paraId="79B33FDC" w14:textId="77777777" w:rsidTr="00F445A4">
        <w:tc>
          <w:tcPr>
            <w:tcW w:w="8755" w:type="dxa"/>
          </w:tcPr>
          <w:p w14:paraId="5783D4AE"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 xml:space="preserve">L'organisation d'une réunion supplémentaire avec le conseil syndical d'une durée d’une heure </w:t>
            </w:r>
            <w:r>
              <w:rPr>
                <w:rFonts w:eastAsia="Times New Roman" w:cstheme="minorHAnsi"/>
                <w:color w:val="333333"/>
                <w:sz w:val="16"/>
                <w:szCs w:val="16"/>
                <w:shd w:val="clear" w:color="auto" w:fill="FFFFFF"/>
                <w:lang w:eastAsia="fr-FR"/>
              </w:rPr>
              <w:t>**</w:t>
            </w:r>
          </w:p>
        </w:tc>
        <w:tc>
          <w:tcPr>
            <w:tcW w:w="1927" w:type="dxa"/>
            <w:gridSpan w:val="3"/>
            <w:vAlign w:val="center"/>
          </w:tcPr>
          <w:p w14:paraId="77830DBF" w14:textId="77777777" w:rsidR="00A239CC" w:rsidRPr="000212A1" w:rsidRDefault="00A239CC" w:rsidP="00F445A4">
            <w:pPr>
              <w:jc w:val="center"/>
              <w:rPr>
                <w:sz w:val="18"/>
                <w:szCs w:val="18"/>
              </w:rPr>
            </w:pPr>
            <w:r w:rsidRPr="000212A1">
              <w:rPr>
                <w:sz w:val="18"/>
                <w:szCs w:val="18"/>
              </w:rPr>
              <w:t>Vacation horaire</w:t>
            </w:r>
          </w:p>
        </w:tc>
      </w:tr>
      <w:tr w:rsidR="00A239CC" w14:paraId="1A42D57A" w14:textId="77777777" w:rsidTr="00F445A4">
        <w:tc>
          <w:tcPr>
            <w:tcW w:w="8755" w:type="dxa"/>
          </w:tcPr>
          <w:p w14:paraId="6CA5D547"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La réalisation d'une visite supplémentaire de la copropriété avec rédaction d'un rapport et en présence du président du conseil syndical</w:t>
            </w:r>
          </w:p>
        </w:tc>
        <w:tc>
          <w:tcPr>
            <w:tcW w:w="1927" w:type="dxa"/>
            <w:gridSpan w:val="3"/>
            <w:vAlign w:val="center"/>
          </w:tcPr>
          <w:p w14:paraId="30F3F676" w14:textId="77777777" w:rsidR="00A239CC" w:rsidRPr="000212A1" w:rsidRDefault="00A239CC" w:rsidP="00F445A4">
            <w:pPr>
              <w:jc w:val="center"/>
              <w:rPr>
                <w:sz w:val="18"/>
                <w:szCs w:val="18"/>
              </w:rPr>
            </w:pPr>
            <w:r w:rsidRPr="000212A1">
              <w:rPr>
                <w:sz w:val="18"/>
                <w:szCs w:val="18"/>
              </w:rPr>
              <w:t>Vacation horaire</w:t>
            </w:r>
          </w:p>
        </w:tc>
      </w:tr>
      <w:tr w:rsidR="00A239CC" w14:paraId="6F772F22" w14:textId="77777777" w:rsidTr="00F445A4">
        <w:tc>
          <w:tcPr>
            <w:tcW w:w="10682" w:type="dxa"/>
            <w:gridSpan w:val="4"/>
            <w:shd w:val="clear" w:color="auto" w:fill="D9D9D9" w:themeFill="background1" w:themeFillShade="D9"/>
          </w:tcPr>
          <w:p w14:paraId="11045D2D" w14:textId="77777777" w:rsidR="00A239CC" w:rsidRPr="000212A1" w:rsidRDefault="00A239CC" w:rsidP="00F445A4">
            <w:pPr>
              <w:rPr>
                <w:sz w:val="18"/>
                <w:szCs w:val="18"/>
              </w:rPr>
            </w:pPr>
            <w:r w:rsidRPr="000212A1">
              <w:rPr>
                <w:sz w:val="18"/>
                <w:szCs w:val="18"/>
              </w:rPr>
              <w:t xml:space="preserve">Règlement de copropriété et </w:t>
            </w:r>
            <w:proofErr w:type="spellStart"/>
            <w:r w:rsidRPr="000212A1">
              <w:rPr>
                <w:sz w:val="18"/>
                <w:szCs w:val="18"/>
              </w:rPr>
              <w:t>Etat</w:t>
            </w:r>
            <w:proofErr w:type="spellEnd"/>
            <w:r w:rsidRPr="000212A1">
              <w:rPr>
                <w:sz w:val="18"/>
                <w:szCs w:val="18"/>
              </w:rPr>
              <w:t xml:space="preserve"> descriptif de division</w:t>
            </w:r>
          </w:p>
        </w:tc>
      </w:tr>
      <w:tr w:rsidR="00A239CC" w14:paraId="1B32FC66" w14:textId="77777777" w:rsidTr="00F445A4">
        <w:tc>
          <w:tcPr>
            <w:tcW w:w="8755" w:type="dxa"/>
          </w:tcPr>
          <w:p w14:paraId="4A581680" w14:textId="77777777" w:rsidR="00A239CC" w:rsidRPr="000212A1" w:rsidRDefault="00A239CC" w:rsidP="00F445A4">
            <w:pPr>
              <w:rPr>
                <w:rFonts w:cstheme="minorHAnsi"/>
                <w:sz w:val="16"/>
                <w:szCs w:val="16"/>
              </w:rPr>
            </w:pPr>
            <w:r w:rsidRPr="000212A1">
              <w:rPr>
                <w:rFonts w:cstheme="minorHAnsi"/>
                <w:color w:val="333333"/>
                <w:sz w:val="16"/>
                <w:szCs w:val="16"/>
                <w:shd w:val="clear" w:color="auto" w:fill="FFFFFF"/>
              </w:rPr>
              <w:t>La publication de l'état descriptif de division et du règlement de copropriété ou des modifications apportées à ces actes</w:t>
            </w:r>
          </w:p>
        </w:tc>
        <w:tc>
          <w:tcPr>
            <w:tcW w:w="992" w:type="dxa"/>
            <w:gridSpan w:val="2"/>
            <w:vAlign w:val="center"/>
          </w:tcPr>
          <w:p w14:paraId="3063FC9A" w14:textId="77777777" w:rsidR="00A239CC" w:rsidRPr="000212A1" w:rsidRDefault="00A239CC" w:rsidP="00F445A4">
            <w:pPr>
              <w:jc w:val="center"/>
              <w:rPr>
                <w:sz w:val="18"/>
                <w:szCs w:val="18"/>
              </w:rPr>
            </w:pPr>
            <w:r w:rsidRPr="000212A1">
              <w:rPr>
                <w:sz w:val="18"/>
                <w:szCs w:val="18"/>
              </w:rPr>
              <w:t>150 €</w:t>
            </w:r>
          </w:p>
        </w:tc>
        <w:tc>
          <w:tcPr>
            <w:tcW w:w="935" w:type="dxa"/>
            <w:vAlign w:val="center"/>
          </w:tcPr>
          <w:p w14:paraId="06DE5A18" w14:textId="77777777" w:rsidR="00A239CC" w:rsidRPr="000212A1" w:rsidRDefault="00A239CC" w:rsidP="00F445A4">
            <w:pPr>
              <w:jc w:val="center"/>
              <w:rPr>
                <w:sz w:val="18"/>
                <w:szCs w:val="18"/>
              </w:rPr>
            </w:pPr>
            <w:r w:rsidRPr="000212A1">
              <w:rPr>
                <w:sz w:val="18"/>
                <w:szCs w:val="18"/>
              </w:rPr>
              <w:t>180 €</w:t>
            </w:r>
          </w:p>
        </w:tc>
      </w:tr>
      <w:tr w:rsidR="00A239CC" w14:paraId="213D1EC2" w14:textId="77777777" w:rsidTr="00F445A4">
        <w:tc>
          <w:tcPr>
            <w:tcW w:w="10682" w:type="dxa"/>
            <w:gridSpan w:val="4"/>
            <w:shd w:val="clear" w:color="auto" w:fill="D9D9D9" w:themeFill="background1" w:themeFillShade="D9"/>
          </w:tcPr>
          <w:p w14:paraId="0E0998F1" w14:textId="77777777" w:rsidR="00A239CC" w:rsidRPr="000212A1" w:rsidRDefault="00A239CC" w:rsidP="00F445A4">
            <w:pPr>
              <w:rPr>
                <w:sz w:val="18"/>
                <w:szCs w:val="18"/>
              </w:rPr>
            </w:pPr>
            <w:r w:rsidRPr="000212A1">
              <w:rPr>
                <w:sz w:val="18"/>
                <w:szCs w:val="18"/>
              </w:rPr>
              <w:t>Gestion administrative et mat</w:t>
            </w:r>
            <w:r>
              <w:rPr>
                <w:sz w:val="18"/>
                <w:szCs w:val="18"/>
              </w:rPr>
              <w:t>érielles relative aux sinistres</w:t>
            </w:r>
          </w:p>
        </w:tc>
      </w:tr>
      <w:tr w:rsidR="00A239CC" w14:paraId="2CA3BB8A" w14:textId="77777777" w:rsidTr="00F445A4">
        <w:tc>
          <w:tcPr>
            <w:tcW w:w="8755" w:type="dxa"/>
          </w:tcPr>
          <w:p w14:paraId="40D1BDB6"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Les déplacements sur les lieux</w:t>
            </w:r>
            <w:r>
              <w:rPr>
                <w:rFonts w:eastAsia="Times New Roman" w:cstheme="minorHAnsi"/>
                <w:color w:val="333333"/>
                <w:sz w:val="16"/>
                <w:szCs w:val="16"/>
                <w:shd w:val="clear" w:color="auto" w:fill="FFFFFF"/>
                <w:lang w:eastAsia="fr-FR"/>
              </w:rPr>
              <w:t xml:space="preserve"> ***</w:t>
            </w:r>
          </w:p>
        </w:tc>
        <w:tc>
          <w:tcPr>
            <w:tcW w:w="1927" w:type="dxa"/>
            <w:gridSpan w:val="3"/>
            <w:vAlign w:val="center"/>
          </w:tcPr>
          <w:p w14:paraId="4967C2A9" w14:textId="77777777" w:rsidR="00A239CC" w:rsidRPr="000212A1" w:rsidRDefault="00A239CC" w:rsidP="00F445A4">
            <w:pPr>
              <w:jc w:val="center"/>
              <w:rPr>
                <w:sz w:val="18"/>
                <w:szCs w:val="18"/>
              </w:rPr>
            </w:pPr>
            <w:r w:rsidRPr="000212A1">
              <w:rPr>
                <w:sz w:val="18"/>
                <w:szCs w:val="18"/>
              </w:rPr>
              <w:t>Vacation horaire</w:t>
            </w:r>
          </w:p>
        </w:tc>
      </w:tr>
      <w:tr w:rsidR="00A239CC" w14:paraId="344346B9" w14:textId="77777777" w:rsidTr="00F445A4">
        <w:tc>
          <w:tcPr>
            <w:tcW w:w="8755" w:type="dxa"/>
          </w:tcPr>
          <w:p w14:paraId="205E776C"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La prise de mesures conservatoires</w:t>
            </w:r>
            <w:r>
              <w:rPr>
                <w:rFonts w:eastAsia="Times New Roman" w:cstheme="minorHAnsi"/>
                <w:color w:val="333333"/>
                <w:sz w:val="16"/>
                <w:szCs w:val="16"/>
                <w:shd w:val="clear" w:color="auto" w:fill="FFFFFF"/>
                <w:lang w:eastAsia="fr-FR"/>
              </w:rPr>
              <w:t xml:space="preserve"> ***</w:t>
            </w:r>
          </w:p>
        </w:tc>
        <w:tc>
          <w:tcPr>
            <w:tcW w:w="1927" w:type="dxa"/>
            <w:gridSpan w:val="3"/>
            <w:vAlign w:val="center"/>
          </w:tcPr>
          <w:p w14:paraId="63183F5A" w14:textId="77777777" w:rsidR="00A239CC" w:rsidRPr="000212A1" w:rsidRDefault="00A239CC" w:rsidP="00F445A4">
            <w:pPr>
              <w:jc w:val="center"/>
              <w:rPr>
                <w:sz w:val="18"/>
                <w:szCs w:val="18"/>
              </w:rPr>
            </w:pPr>
            <w:r w:rsidRPr="000212A1">
              <w:rPr>
                <w:sz w:val="18"/>
                <w:szCs w:val="18"/>
              </w:rPr>
              <w:t>Vacation horaire</w:t>
            </w:r>
          </w:p>
        </w:tc>
      </w:tr>
      <w:tr w:rsidR="00A239CC" w14:paraId="7CD286F6" w14:textId="77777777" w:rsidTr="00F445A4">
        <w:tc>
          <w:tcPr>
            <w:tcW w:w="8755" w:type="dxa"/>
          </w:tcPr>
          <w:p w14:paraId="13FCF7AF"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L’assistance aux mesures d’expertise</w:t>
            </w:r>
            <w:r>
              <w:rPr>
                <w:rFonts w:eastAsia="Times New Roman" w:cstheme="minorHAnsi"/>
                <w:color w:val="333333"/>
                <w:sz w:val="16"/>
                <w:szCs w:val="16"/>
                <w:shd w:val="clear" w:color="auto" w:fill="FFFFFF"/>
                <w:lang w:eastAsia="fr-FR"/>
              </w:rPr>
              <w:t xml:space="preserve"> ***</w:t>
            </w:r>
          </w:p>
        </w:tc>
        <w:tc>
          <w:tcPr>
            <w:tcW w:w="1927" w:type="dxa"/>
            <w:gridSpan w:val="3"/>
            <w:vAlign w:val="center"/>
          </w:tcPr>
          <w:p w14:paraId="6AB6AB32" w14:textId="77777777" w:rsidR="00A239CC" w:rsidRPr="000212A1" w:rsidRDefault="00A239CC" w:rsidP="00F445A4">
            <w:pPr>
              <w:jc w:val="center"/>
              <w:rPr>
                <w:sz w:val="18"/>
                <w:szCs w:val="18"/>
              </w:rPr>
            </w:pPr>
            <w:r w:rsidRPr="000212A1">
              <w:rPr>
                <w:sz w:val="18"/>
                <w:szCs w:val="18"/>
              </w:rPr>
              <w:t>Vacation horaire</w:t>
            </w:r>
          </w:p>
        </w:tc>
      </w:tr>
      <w:tr w:rsidR="00A239CC" w14:paraId="1396F1AF" w14:textId="77777777" w:rsidTr="00F445A4">
        <w:tc>
          <w:tcPr>
            <w:tcW w:w="8755" w:type="dxa"/>
          </w:tcPr>
          <w:p w14:paraId="3390777D" w14:textId="77777777" w:rsidR="00A239CC" w:rsidRPr="000212A1" w:rsidRDefault="00A239CC" w:rsidP="00F445A4">
            <w:pPr>
              <w:rPr>
                <w:rFonts w:cstheme="minorHAnsi"/>
                <w:sz w:val="16"/>
                <w:szCs w:val="16"/>
              </w:rPr>
            </w:pPr>
            <w:r w:rsidRPr="000212A1">
              <w:rPr>
                <w:rFonts w:eastAsia="Times New Roman" w:cstheme="minorHAnsi"/>
                <w:color w:val="333333"/>
                <w:sz w:val="16"/>
                <w:szCs w:val="16"/>
                <w:shd w:val="clear" w:color="auto" w:fill="FFFFFF"/>
                <w:lang w:eastAsia="fr-FR"/>
              </w:rPr>
              <w:t>Le suivi du dossier auprès de l’assureur</w:t>
            </w:r>
            <w:r>
              <w:rPr>
                <w:rFonts w:eastAsia="Times New Roman" w:cstheme="minorHAnsi"/>
                <w:color w:val="333333"/>
                <w:sz w:val="16"/>
                <w:szCs w:val="16"/>
                <w:shd w:val="clear" w:color="auto" w:fill="FFFFFF"/>
                <w:lang w:eastAsia="fr-FR"/>
              </w:rPr>
              <w:t xml:space="preserve"> ***</w:t>
            </w:r>
          </w:p>
        </w:tc>
        <w:tc>
          <w:tcPr>
            <w:tcW w:w="1927" w:type="dxa"/>
            <w:gridSpan w:val="3"/>
            <w:vAlign w:val="center"/>
          </w:tcPr>
          <w:p w14:paraId="4844D472" w14:textId="77777777" w:rsidR="00A239CC" w:rsidRPr="000212A1" w:rsidRDefault="00A239CC" w:rsidP="00F445A4">
            <w:pPr>
              <w:jc w:val="center"/>
              <w:rPr>
                <w:sz w:val="18"/>
                <w:szCs w:val="18"/>
              </w:rPr>
            </w:pPr>
            <w:r w:rsidRPr="000212A1">
              <w:rPr>
                <w:sz w:val="18"/>
                <w:szCs w:val="18"/>
              </w:rPr>
              <w:t>Vacation horaire</w:t>
            </w:r>
          </w:p>
        </w:tc>
      </w:tr>
      <w:tr w:rsidR="00A239CC" w14:paraId="5FA8D834" w14:textId="77777777" w:rsidTr="00F445A4">
        <w:tc>
          <w:tcPr>
            <w:tcW w:w="10682" w:type="dxa"/>
            <w:gridSpan w:val="4"/>
            <w:shd w:val="clear" w:color="auto" w:fill="D9D9D9" w:themeFill="background1" w:themeFillShade="D9"/>
          </w:tcPr>
          <w:p w14:paraId="20C27901" w14:textId="77777777" w:rsidR="00A239CC" w:rsidRPr="000212A1" w:rsidRDefault="00A239CC" w:rsidP="00F445A4">
            <w:pPr>
              <w:rPr>
                <w:sz w:val="18"/>
                <w:szCs w:val="18"/>
              </w:rPr>
            </w:pPr>
            <w:r w:rsidRPr="000212A1">
              <w:rPr>
                <w:sz w:val="18"/>
                <w:szCs w:val="18"/>
              </w:rPr>
              <w:t>Gestion des litiges et contentieux</w:t>
            </w:r>
          </w:p>
        </w:tc>
      </w:tr>
      <w:tr w:rsidR="00A239CC" w14:paraId="4F46D66D" w14:textId="77777777" w:rsidTr="00F445A4">
        <w:tc>
          <w:tcPr>
            <w:tcW w:w="8755" w:type="dxa"/>
          </w:tcPr>
          <w:p w14:paraId="6B7B2F9C"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La mise en demeure d'un tiers par lettre recommandée avec accusé de réception</w:t>
            </w:r>
          </w:p>
        </w:tc>
        <w:tc>
          <w:tcPr>
            <w:tcW w:w="963" w:type="dxa"/>
            <w:vAlign w:val="center"/>
          </w:tcPr>
          <w:p w14:paraId="6FDE6303" w14:textId="77777777" w:rsidR="00A239CC" w:rsidRPr="000212A1" w:rsidRDefault="00A239CC" w:rsidP="00F445A4">
            <w:pPr>
              <w:jc w:val="center"/>
              <w:rPr>
                <w:sz w:val="18"/>
                <w:szCs w:val="18"/>
              </w:rPr>
            </w:pPr>
            <w:r>
              <w:rPr>
                <w:sz w:val="18"/>
                <w:szCs w:val="18"/>
              </w:rPr>
              <w:t>1</w:t>
            </w:r>
            <w:r w:rsidRPr="000212A1">
              <w:rPr>
                <w:sz w:val="18"/>
                <w:szCs w:val="18"/>
              </w:rPr>
              <w:t>0 €</w:t>
            </w:r>
          </w:p>
        </w:tc>
        <w:tc>
          <w:tcPr>
            <w:tcW w:w="964" w:type="dxa"/>
            <w:gridSpan w:val="2"/>
            <w:vAlign w:val="center"/>
          </w:tcPr>
          <w:p w14:paraId="41896725" w14:textId="77777777" w:rsidR="00A239CC" w:rsidRPr="000212A1" w:rsidRDefault="00A239CC" w:rsidP="00F445A4">
            <w:pPr>
              <w:jc w:val="center"/>
              <w:rPr>
                <w:sz w:val="18"/>
                <w:szCs w:val="18"/>
              </w:rPr>
            </w:pPr>
            <w:r>
              <w:rPr>
                <w:sz w:val="18"/>
                <w:szCs w:val="18"/>
              </w:rPr>
              <w:t>12</w:t>
            </w:r>
            <w:r w:rsidRPr="000212A1">
              <w:rPr>
                <w:sz w:val="18"/>
                <w:szCs w:val="18"/>
              </w:rPr>
              <w:t xml:space="preserve"> €</w:t>
            </w:r>
          </w:p>
        </w:tc>
      </w:tr>
      <w:tr w:rsidR="00A239CC" w14:paraId="4F113DB5" w14:textId="77777777" w:rsidTr="00F445A4">
        <w:tc>
          <w:tcPr>
            <w:tcW w:w="8755" w:type="dxa"/>
          </w:tcPr>
          <w:p w14:paraId="6B9CE139"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La constitution du dossier transmis à l'avocat, à l'huissier de justice ou à l'assureur protection juridique</w:t>
            </w:r>
          </w:p>
        </w:tc>
        <w:tc>
          <w:tcPr>
            <w:tcW w:w="1927" w:type="dxa"/>
            <w:gridSpan w:val="3"/>
            <w:vAlign w:val="center"/>
          </w:tcPr>
          <w:p w14:paraId="7C792870" w14:textId="77777777" w:rsidR="00A239CC" w:rsidRPr="000212A1" w:rsidRDefault="00A239CC" w:rsidP="00F445A4">
            <w:pPr>
              <w:jc w:val="center"/>
              <w:rPr>
                <w:sz w:val="18"/>
                <w:szCs w:val="18"/>
              </w:rPr>
            </w:pPr>
            <w:r w:rsidRPr="000212A1">
              <w:rPr>
                <w:sz w:val="18"/>
                <w:szCs w:val="18"/>
              </w:rPr>
              <w:t>Vacation horaire</w:t>
            </w:r>
          </w:p>
        </w:tc>
      </w:tr>
      <w:tr w:rsidR="00A239CC" w14:paraId="66982609" w14:textId="77777777" w:rsidTr="00F445A4">
        <w:tc>
          <w:tcPr>
            <w:tcW w:w="8755" w:type="dxa"/>
          </w:tcPr>
          <w:p w14:paraId="63792DAE"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Le suivi du dossier transmis à l'avocat</w:t>
            </w:r>
          </w:p>
        </w:tc>
        <w:tc>
          <w:tcPr>
            <w:tcW w:w="1927" w:type="dxa"/>
            <w:gridSpan w:val="3"/>
            <w:vAlign w:val="center"/>
          </w:tcPr>
          <w:p w14:paraId="3ADA5FC0" w14:textId="77777777" w:rsidR="00A239CC" w:rsidRPr="000212A1" w:rsidRDefault="00A239CC" w:rsidP="00F445A4">
            <w:pPr>
              <w:jc w:val="center"/>
              <w:rPr>
                <w:sz w:val="18"/>
                <w:szCs w:val="18"/>
              </w:rPr>
            </w:pPr>
            <w:r w:rsidRPr="000212A1">
              <w:rPr>
                <w:sz w:val="18"/>
                <w:szCs w:val="18"/>
              </w:rPr>
              <w:t>Vacation horaire</w:t>
            </w:r>
          </w:p>
        </w:tc>
      </w:tr>
      <w:tr w:rsidR="00A239CC" w14:paraId="47213767" w14:textId="77777777" w:rsidTr="00F445A4">
        <w:tc>
          <w:tcPr>
            <w:tcW w:w="10682" w:type="dxa"/>
            <w:gridSpan w:val="4"/>
            <w:shd w:val="clear" w:color="auto" w:fill="D9D9D9" w:themeFill="background1" w:themeFillShade="D9"/>
          </w:tcPr>
          <w:p w14:paraId="75F80693" w14:textId="77777777" w:rsidR="00A239CC" w:rsidRPr="000212A1" w:rsidRDefault="00A239CC" w:rsidP="00F445A4">
            <w:pPr>
              <w:rPr>
                <w:sz w:val="18"/>
                <w:szCs w:val="18"/>
              </w:rPr>
            </w:pPr>
            <w:r w:rsidRPr="000212A1">
              <w:rPr>
                <w:sz w:val="18"/>
                <w:szCs w:val="18"/>
              </w:rPr>
              <w:t>Autres prestations</w:t>
            </w:r>
          </w:p>
        </w:tc>
      </w:tr>
      <w:tr w:rsidR="00A239CC" w14:paraId="5BE34E62" w14:textId="77777777" w:rsidTr="00F445A4">
        <w:tc>
          <w:tcPr>
            <w:tcW w:w="8755" w:type="dxa"/>
          </w:tcPr>
          <w:p w14:paraId="605749F3"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Les diligences spécifiquement liées à la préparation des décisions d'acquisition ou de disposition des parties communes</w:t>
            </w:r>
          </w:p>
        </w:tc>
        <w:tc>
          <w:tcPr>
            <w:tcW w:w="1927" w:type="dxa"/>
            <w:gridSpan w:val="3"/>
            <w:vAlign w:val="center"/>
          </w:tcPr>
          <w:p w14:paraId="0FBCDFD3" w14:textId="77777777" w:rsidR="00A239CC" w:rsidRPr="000212A1" w:rsidRDefault="00A239CC" w:rsidP="00F445A4">
            <w:pPr>
              <w:jc w:val="center"/>
              <w:rPr>
                <w:sz w:val="18"/>
                <w:szCs w:val="18"/>
              </w:rPr>
            </w:pPr>
            <w:r w:rsidRPr="000212A1">
              <w:rPr>
                <w:sz w:val="18"/>
                <w:szCs w:val="18"/>
              </w:rPr>
              <w:t>Vacation horaire</w:t>
            </w:r>
          </w:p>
        </w:tc>
      </w:tr>
      <w:tr w:rsidR="00A239CC" w14:paraId="497E7AFF" w14:textId="77777777" w:rsidTr="00F445A4">
        <w:tc>
          <w:tcPr>
            <w:tcW w:w="8755" w:type="dxa"/>
          </w:tcPr>
          <w:p w14:paraId="3A42F04D"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La reprise de la comptabilité sur exercice (s) antérieur (s) non approuvés ou non répartis (changement de syndic)</w:t>
            </w:r>
          </w:p>
        </w:tc>
        <w:tc>
          <w:tcPr>
            <w:tcW w:w="1927" w:type="dxa"/>
            <w:gridSpan w:val="3"/>
            <w:vAlign w:val="center"/>
          </w:tcPr>
          <w:p w14:paraId="350986A0" w14:textId="77777777" w:rsidR="00A239CC" w:rsidRPr="000212A1" w:rsidRDefault="00A239CC" w:rsidP="00F445A4">
            <w:pPr>
              <w:jc w:val="center"/>
              <w:rPr>
                <w:sz w:val="18"/>
                <w:szCs w:val="18"/>
              </w:rPr>
            </w:pPr>
            <w:r w:rsidRPr="000212A1">
              <w:rPr>
                <w:sz w:val="18"/>
                <w:szCs w:val="18"/>
              </w:rPr>
              <w:t>Vacation horaire</w:t>
            </w:r>
          </w:p>
        </w:tc>
      </w:tr>
      <w:tr w:rsidR="00A239CC" w14:paraId="1B0A9A92" w14:textId="77777777" w:rsidTr="00F445A4">
        <w:tc>
          <w:tcPr>
            <w:tcW w:w="8755" w:type="dxa"/>
          </w:tcPr>
          <w:p w14:paraId="14415E6F"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La représentation du syndicat aux assemblées d'une structure extérieure (syndicat secondaire, union de syndicats, association syndicale libre) créée en cours de mandat ainsi qu'aux assemblées supplémentaires de ces mêmes structures si elles existaient antérieurement à la signature du présent contrat</w:t>
            </w:r>
          </w:p>
        </w:tc>
        <w:tc>
          <w:tcPr>
            <w:tcW w:w="1927" w:type="dxa"/>
            <w:gridSpan w:val="3"/>
            <w:vAlign w:val="center"/>
          </w:tcPr>
          <w:p w14:paraId="2AD07AFA" w14:textId="77777777" w:rsidR="00A239CC" w:rsidRPr="000212A1" w:rsidRDefault="00A239CC" w:rsidP="00F445A4">
            <w:pPr>
              <w:jc w:val="center"/>
              <w:rPr>
                <w:sz w:val="18"/>
                <w:szCs w:val="18"/>
              </w:rPr>
            </w:pPr>
            <w:r w:rsidRPr="000212A1">
              <w:rPr>
                <w:sz w:val="18"/>
                <w:szCs w:val="18"/>
              </w:rPr>
              <w:t>Vacation horaire</w:t>
            </w:r>
          </w:p>
        </w:tc>
      </w:tr>
      <w:tr w:rsidR="00A239CC" w14:paraId="313A4952" w14:textId="77777777" w:rsidTr="00F445A4">
        <w:tc>
          <w:tcPr>
            <w:tcW w:w="8755" w:type="dxa"/>
          </w:tcPr>
          <w:p w14:paraId="00D88D0A"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La constitution et le suivi du dossier d'emprunt souscrit au nom du syndicat en application de l'article 26-4 alinéa 1 et 2 de la loi du 10 juillet 1965</w:t>
            </w:r>
          </w:p>
        </w:tc>
        <w:tc>
          <w:tcPr>
            <w:tcW w:w="963" w:type="dxa"/>
            <w:vAlign w:val="center"/>
          </w:tcPr>
          <w:p w14:paraId="0EA75C60" w14:textId="77777777" w:rsidR="00A239CC" w:rsidRPr="000212A1" w:rsidRDefault="00A239CC" w:rsidP="00F445A4">
            <w:pPr>
              <w:jc w:val="center"/>
              <w:rPr>
                <w:sz w:val="18"/>
                <w:szCs w:val="18"/>
              </w:rPr>
            </w:pPr>
            <w:r w:rsidRPr="000212A1">
              <w:rPr>
                <w:sz w:val="18"/>
                <w:szCs w:val="18"/>
              </w:rPr>
              <w:t>165 €</w:t>
            </w:r>
          </w:p>
        </w:tc>
        <w:tc>
          <w:tcPr>
            <w:tcW w:w="964" w:type="dxa"/>
            <w:gridSpan w:val="2"/>
            <w:vAlign w:val="center"/>
          </w:tcPr>
          <w:p w14:paraId="458F9B01" w14:textId="77777777" w:rsidR="00A239CC" w:rsidRPr="000212A1" w:rsidRDefault="00A239CC" w:rsidP="00F445A4">
            <w:pPr>
              <w:jc w:val="center"/>
              <w:rPr>
                <w:sz w:val="18"/>
                <w:szCs w:val="18"/>
              </w:rPr>
            </w:pPr>
            <w:r w:rsidRPr="000212A1">
              <w:rPr>
                <w:sz w:val="18"/>
                <w:szCs w:val="18"/>
              </w:rPr>
              <w:t>198 €</w:t>
            </w:r>
          </w:p>
        </w:tc>
      </w:tr>
      <w:tr w:rsidR="00A239CC" w14:paraId="064A04A6" w14:textId="77777777" w:rsidTr="00F445A4">
        <w:tc>
          <w:tcPr>
            <w:tcW w:w="8755" w:type="dxa"/>
          </w:tcPr>
          <w:p w14:paraId="241BA9C1"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La constitution et le suivi d'un dossier de subvention accordé au syndicat</w:t>
            </w:r>
          </w:p>
        </w:tc>
        <w:tc>
          <w:tcPr>
            <w:tcW w:w="1927" w:type="dxa"/>
            <w:gridSpan w:val="3"/>
            <w:vAlign w:val="center"/>
          </w:tcPr>
          <w:p w14:paraId="544C1838" w14:textId="77777777" w:rsidR="00A239CC" w:rsidRPr="000212A1" w:rsidRDefault="00A239CC" w:rsidP="00F445A4">
            <w:pPr>
              <w:jc w:val="center"/>
              <w:rPr>
                <w:sz w:val="18"/>
                <w:szCs w:val="18"/>
              </w:rPr>
            </w:pPr>
            <w:r w:rsidRPr="000212A1">
              <w:rPr>
                <w:sz w:val="18"/>
                <w:szCs w:val="18"/>
              </w:rPr>
              <w:t>Vacation horaire</w:t>
            </w:r>
          </w:p>
        </w:tc>
      </w:tr>
      <w:tr w:rsidR="00A239CC" w14:paraId="49659249" w14:textId="77777777" w:rsidTr="00F445A4">
        <w:tc>
          <w:tcPr>
            <w:tcW w:w="8755" w:type="dxa"/>
          </w:tcPr>
          <w:p w14:paraId="60A101C9"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L'immatriculation initiale du syndicat</w:t>
            </w:r>
          </w:p>
        </w:tc>
        <w:tc>
          <w:tcPr>
            <w:tcW w:w="963" w:type="dxa"/>
            <w:vAlign w:val="center"/>
          </w:tcPr>
          <w:p w14:paraId="1BCE5FAD" w14:textId="77777777" w:rsidR="00A239CC" w:rsidRPr="000212A1" w:rsidRDefault="00A239CC" w:rsidP="00F445A4">
            <w:pPr>
              <w:jc w:val="center"/>
              <w:rPr>
                <w:sz w:val="18"/>
                <w:szCs w:val="18"/>
              </w:rPr>
            </w:pPr>
            <w:r>
              <w:rPr>
                <w:sz w:val="18"/>
                <w:szCs w:val="18"/>
              </w:rPr>
              <w:t>120 €</w:t>
            </w:r>
          </w:p>
        </w:tc>
        <w:tc>
          <w:tcPr>
            <w:tcW w:w="964" w:type="dxa"/>
            <w:gridSpan w:val="2"/>
            <w:vAlign w:val="center"/>
          </w:tcPr>
          <w:p w14:paraId="573939A7" w14:textId="77777777" w:rsidR="00A239CC" w:rsidRPr="000212A1" w:rsidRDefault="00A239CC" w:rsidP="00F445A4">
            <w:pPr>
              <w:jc w:val="center"/>
              <w:rPr>
                <w:sz w:val="18"/>
                <w:szCs w:val="18"/>
              </w:rPr>
            </w:pPr>
            <w:r>
              <w:rPr>
                <w:sz w:val="18"/>
                <w:szCs w:val="18"/>
              </w:rPr>
              <w:t>144 €</w:t>
            </w:r>
          </w:p>
        </w:tc>
      </w:tr>
      <w:tr w:rsidR="00A239CC" w14:paraId="062220A6" w14:textId="77777777" w:rsidTr="00F445A4">
        <w:tc>
          <w:tcPr>
            <w:tcW w:w="10682" w:type="dxa"/>
            <w:gridSpan w:val="4"/>
            <w:shd w:val="clear" w:color="auto" w:fill="A6A6A6" w:themeFill="background1" w:themeFillShade="A6"/>
          </w:tcPr>
          <w:p w14:paraId="58A9D375" w14:textId="77777777" w:rsidR="00A239CC" w:rsidRPr="00281B79" w:rsidRDefault="00A239CC" w:rsidP="00F445A4">
            <w:pPr>
              <w:jc w:val="center"/>
              <w:rPr>
                <w:sz w:val="20"/>
                <w:szCs w:val="20"/>
              </w:rPr>
            </w:pPr>
            <w:r>
              <w:rPr>
                <w:sz w:val="20"/>
                <w:szCs w:val="20"/>
              </w:rPr>
              <w:t>FRAIS ET HONORAIRES IMPUTABLES AUX SEULS COPROPRIETAIRES CONCERNES</w:t>
            </w:r>
          </w:p>
        </w:tc>
      </w:tr>
      <w:tr w:rsidR="00A239CC" w14:paraId="6FA67EF6" w14:textId="77777777" w:rsidTr="00F445A4">
        <w:tc>
          <w:tcPr>
            <w:tcW w:w="10682" w:type="dxa"/>
            <w:gridSpan w:val="4"/>
            <w:shd w:val="clear" w:color="auto" w:fill="D9D9D9" w:themeFill="background1" w:themeFillShade="D9"/>
          </w:tcPr>
          <w:p w14:paraId="664B3E6B" w14:textId="77777777" w:rsidR="00A239CC" w:rsidRPr="000212A1" w:rsidRDefault="00A239CC" w:rsidP="00F445A4">
            <w:pPr>
              <w:rPr>
                <w:sz w:val="18"/>
                <w:szCs w:val="18"/>
              </w:rPr>
            </w:pPr>
            <w:r>
              <w:rPr>
                <w:sz w:val="18"/>
                <w:szCs w:val="18"/>
              </w:rPr>
              <w:t>Frais de recouvrement – Article 10.1 de la loi du 10 juillet 1965</w:t>
            </w:r>
          </w:p>
        </w:tc>
      </w:tr>
      <w:tr w:rsidR="00A239CC" w14:paraId="5BF14BC4" w14:textId="77777777" w:rsidTr="00F445A4">
        <w:tc>
          <w:tcPr>
            <w:tcW w:w="8755" w:type="dxa"/>
          </w:tcPr>
          <w:p w14:paraId="61619961"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Mise en demeure par lettre recommandée avec accusé de réception</w:t>
            </w:r>
          </w:p>
        </w:tc>
        <w:tc>
          <w:tcPr>
            <w:tcW w:w="963" w:type="dxa"/>
            <w:vAlign w:val="center"/>
          </w:tcPr>
          <w:p w14:paraId="7845FB5F" w14:textId="77777777" w:rsidR="00A239CC" w:rsidRPr="000212A1" w:rsidRDefault="00A239CC" w:rsidP="00F445A4">
            <w:pPr>
              <w:jc w:val="center"/>
              <w:rPr>
                <w:sz w:val="18"/>
                <w:szCs w:val="18"/>
              </w:rPr>
            </w:pPr>
            <w:r w:rsidRPr="000212A1">
              <w:rPr>
                <w:sz w:val="18"/>
                <w:szCs w:val="18"/>
              </w:rPr>
              <w:t>30 €</w:t>
            </w:r>
          </w:p>
        </w:tc>
        <w:tc>
          <w:tcPr>
            <w:tcW w:w="964" w:type="dxa"/>
            <w:gridSpan w:val="2"/>
            <w:vAlign w:val="center"/>
          </w:tcPr>
          <w:p w14:paraId="2FC96340" w14:textId="77777777" w:rsidR="00A239CC" w:rsidRPr="000212A1" w:rsidRDefault="00A239CC" w:rsidP="00F445A4">
            <w:pPr>
              <w:jc w:val="center"/>
              <w:rPr>
                <w:sz w:val="18"/>
                <w:szCs w:val="18"/>
              </w:rPr>
            </w:pPr>
            <w:r w:rsidRPr="000212A1">
              <w:rPr>
                <w:sz w:val="18"/>
                <w:szCs w:val="18"/>
              </w:rPr>
              <w:t>36 €</w:t>
            </w:r>
          </w:p>
        </w:tc>
      </w:tr>
      <w:tr w:rsidR="00A239CC" w14:paraId="3E2D88FF" w14:textId="77777777" w:rsidTr="00F445A4">
        <w:tc>
          <w:tcPr>
            <w:tcW w:w="8755" w:type="dxa"/>
          </w:tcPr>
          <w:p w14:paraId="52F47CE9"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Relance après mise en demeure</w:t>
            </w:r>
          </w:p>
        </w:tc>
        <w:tc>
          <w:tcPr>
            <w:tcW w:w="963" w:type="dxa"/>
            <w:vAlign w:val="center"/>
          </w:tcPr>
          <w:p w14:paraId="0868E744" w14:textId="77777777" w:rsidR="00A239CC" w:rsidRPr="000212A1" w:rsidRDefault="00A239CC" w:rsidP="00F445A4">
            <w:pPr>
              <w:jc w:val="center"/>
              <w:rPr>
                <w:sz w:val="18"/>
                <w:szCs w:val="18"/>
              </w:rPr>
            </w:pPr>
            <w:r w:rsidRPr="000212A1">
              <w:rPr>
                <w:sz w:val="18"/>
                <w:szCs w:val="18"/>
              </w:rPr>
              <w:t>30 €</w:t>
            </w:r>
          </w:p>
        </w:tc>
        <w:tc>
          <w:tcPr>
            <w:tcW w:w="964" w:type="dxa"/>
            <w:gridSpan w:val="2"/>
            <w:vAlign w:val="center"/>
          </w:tcPr>
          <w:p w14:paraId="3B7CCF67" w14:textId="77777777" w:rsidR="00A239CC" w:rsidRPr="000212A1" w:rsidRDefault="00A239CC" w:rsidP="00F445A4">
            <w:pPr>
              <w:jc w:val="center"/>
              <w:rPr>
                <w:sz w:val="18"/>
                <w:szCs w:val="18"/>
              </w:rPr>
            </w:pPr>
            <w:r w:rsidRPr="000212A1">
              <w:rPr>
                <w:sz w:val="18"/>
                <w:szCs w:val="18"/>
              </w:rPr>
              <w:t>36 €</w:t>
            </w:r>
          </w:p>
        </w:tc>
      </w:tr>
      <w:tr w:rsidR="00A239CC" w14:paraId="70873341" w14:textId="77777777" w:rsidTr="00F445A4">
        <w:tc>
          <w:tcPr>
            <w:tcW w:w="8755" w:type="dxa"/>
          </w:tcPr>
          <w:p w14:paraId="73ED6BA9"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Conclusion d'un protocole d'accord par acte sous seing privé</w:t>
            </w:r>
          </w:p>
        </w:tc>
        <w:tc>
          <w:tcPr>
            <w:tcW w:w="963" w:type="dxa"/>
            <w:vAlign w:val="center"/>
          </w:tcPr>
          <w:p w14:paraId="7648281B" w14:textId="77777777" w:rsidR="00A239CC" w:rsidRPr="000212A1" w:rsidRDefault="00A239CC" w:rsidP="00F445A4">
            <w:pPr>
              <w:jc w:val="center"/>
              <w:rPr>
                <w:sz w:val="18"/>
                <w:szCs w:val="18"/>
              </w:rPr>
            </w:pPr>
            <w:r>
              <w:rPr>
                <w:sz w:val="18"/>
                <w:szCs w:val="18"/>
              </w:rPr>
              <w:t>60 €</w:t>
            </w:r>
          </w:p>
        </w:tc>
        <w:tc>
          <w:tcPr>
            <w:tcW w:w="964" w:type="dxa"/>
            <w:gridSpan w:val="2"/>
            <w:vAlign w:val="center"/>
          </w:tcPr>
          <w:p w14:paraId="49377B6F" w14:textId="77777777" w:rsidR="00A239CC" w:rsidRPr="000212A1" w:rsidRDefault="00A239CC" w:rsidP="00F445A4">
            <w:pPr>
              <w:jc w:val="center"/>
              <w:rPr>
                <w:sz w:val="18"/>
                <w:szCs w:val="18"/>
              </w:rPr>
            </w:pPr>
            <w:r>
              <w:rPr>
                <w:sz w:val="18"/>
                <w:szCs w:val="18"/>
              </w:rPr>
              <w:t>72 €</w:t>
            </w:r>
          </w:p>
        </w:tc>
      </w:tr>
      <w:tr w:rsidR="00A239CC" w14:paraId="17274DD7" w14:textId="77777777" w:rsidTr="00F445A4">
        <w:tc>
          <w:tcPr>
            <w:tcW w:w="8755" w:type="dxa"/>
          </w:tcPr>
          <w:p w14:paraId="0DC62DF7"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Frais de constitution d'hypothèque</w:t>
            </w:r>
          </w:p>
        </w:tc>
        <w:tc>
          <w:tcPr>
            <w:tcW w:w="963" w:type="dxa"/>
            <w:vAlign w:val="center"/>
          </w:tcPr>
          <w:p w14:paraId="06DE1F0C" w14:textId="77777777" w:rsidR="00A239CC" w:rsidRPr="000212A1" w:rsidRDefault="00A239CC" w:rsidP="00F445A4">
            <w:pPr>
              <w:jc w:val="center"/>
              <w:rPr>
                <w:sz w:val="18"/>
                <w:szCs w:val="18"/>
              </w:rPr>
            </w:pPr>
            <w:r>
              <w:rPr>
                <w:sz w:val="18"/>
                <w:szCs w:val="18"/>
              </w:rPr>
              <w:t>150</w:t>
            </w:r>
            <w:r w:rsidRPr="000212A1">
              <w:rPr>
                <w:sz w:val="18"/>
                <w:szCs w:val="18"/>
              </w:rPr>
              <w:t xml:space="preserve"> €</w:t>
            </w:r>
          </w:p>
        </w:tc>
        <w:tc>
          <w:tcPr>
            <w:tcW w:w="964" w:type="dxa"/>
            <w:gridSpan w:val="2"/>
            <w:vAlign w:val="center"/>
          </w:tcPr>
          <w:p w14:paraId="1259B953" w14:textId="77777777" w:rsidR="00A239CC" w:rsidRPr="000212A1" w:rsidRDefault="00A239CC" w:rsidP="00F445A4">
            <w:pPr>
              <w:jc w:val="center"/>
              <w:rPr>
                <w:sz w:val="18"/>
                <w:szCs w:val="18"/>
              </w:rPr>
            </w:pPr>
            <w:r>
              <w:rPr>
                <w:sz w:val="18"/>
                <w:szCs w:val="18"/>
              </w:rPr>
              <w:t>180 €</w:t>
            </w:r>
          </w:p>
        </w:tc>
      </w:tr>
      <w:tr w:rsidR="00A239CC" w14:paraId="1E434C02" w14:textId="77777777" w:rsidTr="00F445A4">
        <w:tc>
          <w:tcPr>
            <w:tcW w:w="8755" w:type="dxa"/>
          </w:tcPr>
          <w:p w14:paraId="59E1FCC8"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Frais de mainlevée d'hypothèque</w:t>
            </w:r>
          </w:p>
        </w:tc>
        <w:tc>
          <w:tcPr>
            <w:tcW w:w="963" w:type="dxa"/>
            <w:vAlign w:val="center"/>
          </w:tcPr>
          <w:p w14:paraId="4DAB7007" w14:textId="77777777" w:rsidR="00A239CC" w:rsidRPr="000212A1" w:rsidRDefault="00A239CC" w:rsidP="00F445A4">
            <w:pPr>
              <w:jc w:val="center"/>
              <w:rPr>
                <w:sz w:val="18"/>
                <w:szCs w:val="18"/>
              </w:rPr>
            </w:pPr>
            <w:r>
              <w:rPr>
                <w:sz w:val="18"/>
                <w:szCs w:val="18"/>
              </w:rPr>
              <w:t>30 €</w:t>
            </w:r>
          </w:p>
        </w:tc>
        <w:tc>
          <w:tcPr>
            <w:tcW w:w="964" w:type="dxa"/>
            <w:gridSpan w:val="2"/>
            <w:vAlign w:val="center"/>
          </w:tcPr>
          <w:p w14:paraId="44F5A18C" w14:textId="77777777" w:rsidR="00A239CC" w:rsidRPr="000212A1" w:rsidRDefault="00A239CC" w:rsidP="00F445A4">
            <w:pPr>
              <w:jc w:val="center"/>
              <w:rPr>
                <w:sz w:val="18"/>
                <w:szCs w:val="18"/>
              </w:rPr>
            </w:pPr>
            <w:r>
              <w:rPr>
                <w:sz w:val="18"/>
                <w:szCs w:val="18"/>
              </w:rPr>
              <w:t>36 €</w:t>
            </w:r>
          </w:p>
        </w:tc>
      </w:tr>
      <w:tr w:rsidR="00A239CC" w14:paraId="4B4916CB" w14:textId="77777777" w:rsidTr="00F445A4">
        <w:tc>
          <w:tcPr>
            <w:tcW w:w="8755" w:type="dxa"/>
          </w:tcPr>
          <w:p w14:paraId="16C79B88" w14:textId="77777777" w:rsidR="00A239CC" w:rsidRPr="000212A1" w:rsidRDefault="00A239CC" w:rsidP="00F445A4">
            <w:pPr>
              <w:rPr>
                <w:rFonts w:cstheme="minorHAnsi"/>
                <w:sz w:val="16"/>
                <w:szCs w:val="16"/>
              </w:rPr>
            </w:pPr>
            <w:r w:rsidRPr="000212A1">
              <w:rPr>
                <w:rFonts w:eastAsia="Times New Roman" w:cstheme="minorHAnsi"/>
                <w:color w:val="333333"/>
                <w:sz w:val="16"/>
                <w:szCs w:val="16"/>
                <w:lang w:eastAsia="fr-FR"/>
              </w:rPr>
              <w:t>Dépôt d'une requête en injonction de payer</w:t>
            </w:r>
          </w:p>
        </w:tc>
        <w:tc>
          <w:tcPr>
            <w:tcW w:w="963" w:type="dxa"/>
            <w:vAlign w:val="center"/>
          </w:tcPr>
          <w:p w14:paraId="02A669BB" w14:textId="77777777" w:rsidR="00A239CC" w:rsidRPr="000212A1" w:rsidRDefault="00A239CC" w:rsidP="00F445A4">
            <w:pPr>
              <w:jc w:val="center"/>
              <w:rPr>
                <w:sz w:val="18"/>
                <w:szCs w:val="18"/>
              </w:rPr>
            </w:pPr>
            <w:r>
              <w:rPr>
                <w:sz w:val="18"/>
                <w:szCs w:val="18"/>
              </w:rPr>
              <w:t>200 €</w:t>
            </w:r>
          </w:p>
        </w:tc>
        <w:tc>
          <w:tcPr>
            <w:tcW w:w="964" w:type="dxa"/>
            <w:gridSpan w:val="2"/>
            <w:vAlign w:val="center"/>
          </w:tcPr>
          <w:p w14:paraId="4532DCB0" w14:textId="77777777" w:rsidR="00A239CC" w:rsidRPr="000212A1" w:rsidRDefault="00A239CC" w:rsidP="00F445A4">
            <w:pPr>
              <w:jc w:val="center"/>
              <w:rPr>
                <w:sz w:val="18"/>
                <w:szCs w:val="18"/>
              </w:rPr>
            </w:pPr>
            <w:r>
              <w:rPr>
                <w:sz w:val="18"/>
                <w:szCs w:val="18"/>
              </w:rPr>
              <w:t>240 €</w:t>
            </w:r>
          </w:p>
        </w:tc>
      </w:tr>
      <w:tr w:rsidR="00A239CC" w14:paraId="107B239E" w14:textId="77777777" w:rsidTr="00F445A4">
        <w:tc>
          <w:tcPr>
            <w:tcW w:w="8755" w:type="dxa"/>
          </w:tcPr>
          <w:p w14:paraId="4DFC45D5"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Constitution du dossier transmis à l'auxiliaire de justice en cas de diligences exceptionnelles</w:t>
            </w:r>
          </w:p>
        </w:tc>
        <w:tc>
          <w:tcPr>
            <w:tcW w:w="963" w:type="dxa"/>
            <w:vAlign w:val="center"/>
          </w:tcPr>
          <w:p w14:paraId="620FDF48" w14:textId="77777777" w:rsidR="00A239CC" w:rsidRPr="000212A1" w:rsidRDefault="00A239CC" w:rsidP="00F445A4">
            <w:pPr>
              <w:jc w:val="center"/>
              <w:rPr>
                <w:sz w:val="18"/>
                <w:szCs w:val="18"/>
              </w:rPr>
            </w:pPr>
            <w:r>
              <w:rPr>
                <w:sz w:val="18"/>
                <w:szCs w:val="18"/>
              </w:rPr>
              <w:t>200 €</w:t>
            </w:r>
          </w:p>
        </w:tc>
        <w:tc>
          <w:tcPr>
            <w:tcW w:w="964" w:type="dxa"/>
            <w:gridSpan w:val="2"/>
            <w:vAlign w:val="center"/>
          </w:tcPr>
          <w:p w14:paraId="15F5C45F" w14:textId="77777777" w:rsidR="00A239CC" w:rsidRPr="000212A1" w:rsidRDefault="00A239CC" w:rsidP="00F445A4">
            <w:pPr>
              <w:jc w:val="center"/>
              <w:rPr>
                <w:sz w:val="18"/>
                <w:szCs w:val="18"/>
              </w:rPr>
            </w:pPr>
            <w:r>
              <w:rPr>
                <w:sz w:val="18"/>
                <w:szCs w:val="18"/>
              </w:rPr>
              <w:t>240 €</w:t>
            </w:r>
          </w:p>
        </w:tc>
      </w:tr>
      <w:tr w:rsidR="00A239CC" w14:paraId="51BC0687" w14:textId="77777777" w:rsidTr="00F445A4">
        <w:tc>
          <w:tcPr>
            <w:tcW w:w="8755" w:type="dxa"/>
          </w:tcPr>
          <w:p w14:paraId="5F12133A"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Suivi du dossier transmis à l'avocat en cas de diligences exceptionnelles</w:t>
            </w:r>
          </w:p>
        </w:tc>
        <w:tc>
          <w:tcPr>
            <w:tcW w:w="1927" w:type="dxa"/>
            <w:gridSpan w:val="3"/>
            <w:vAlign w:val="center"/>
          </w:tcPr>
          <w:p w14:paraId="53788610" w14:textId="77777777" w:rsidR="00A239CC" w:rsidRPr="000212A1" w:rsidRDefault="00A239CC" w:rsidP="00F445A4">
            <w:pPr>
              <w:jc w:val="center"/>
              <w:rPr>
                <w:sz w:val="18"/>
                <w:szCs w:val="18"/>
              </w:rPr>
            </w:pPr>
            <w:r w:rsidRPr="000212A1">
              <w:rPr>
                <w:sz w:val="18"/>
                <w:szCs w:val="18"/>
              </w:rPr>
              <w:t>Vacation horaire</w:t>
            </w:r>
          </w:p>
        </w:tc>
      </w:tr>
      <w:tr w:rsidR="00A239CC" w14:paraId="56C0C3B2" w14:textId="77777777" w:rsidTr="00F445A4">
        <w:tc>
          <w:tcPr>
            <w:tcW w:w="10682" w:type="dxa"/>
            <w:gridSpan w:val="4"/>
            <w:shd w:val="clear" w:color="auto" w:fill="D9D9D9" w:themeFill="background1" w:themeFillShade="D9"/>
          </w:tcPr>
          <w:p w14:paraId="35534668" w14:textId="77777777" w:rsidR="00A239CC" w:rsidRPr="000212A1" w:rsidRDefault="00A239CC" w:rsidP="00F445A4">
            <w:pPr>
              <w:rPr>
                <w:sz w:val="18"/>
                <w:szCs w:val="18"/>
              </w:rPr>
            </w:pPr>
            <w:r>
              <w:rPr>
                <w:sz w:val="18"/>
                <w:szCs w:val="18"/>
              </w:rPr>
              <w:t>Frais et honoraires liés aux mutations – Article 10.1b de la loi du 10 juillet 1965</w:t>
            </w:r>
          </w:p>
        </w:tc>
      </w:tr>
      <w:tr w:rsidR="00A239CC" w14:paraId="02F120D7" w14:textId="77777777" w:rsidTr="00F445A4">
        <w:tc>
          <w:tcPr>
            <w:tcW w:w="8755" w:type="dxa"/>
          </w:tcPr>
          <w:p w14:paraId="3C205B2E" w14:textId="591282C0"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Établissement</w:t>
            </w:r>
            <w:r w:rsidRPr="00B441EE">
              <w:rPr>
                <w:rFonts w:eastAsia="Times New Roman" w:cstheme="minorHAnsi"/>
                <w:color w:val="333333"/>
                <w:sz w:val="16"/>
                <w:szCs w:val="16"/>
                <w:lang w:eastAsia="fr-FR"/>
              </w:rPr>
              <w:t xml:space="preserve"> de l'état daté</w:t>
            </w:r>
          </w:p>
        </w:tc>
        <w:tc>
          <w:tcPr>
            <w:tcW w:w="963" w:type="dxa"/>
            <w:vAlign w:val="center"/>
          </w:tcPr>
          <w:p w14:paraId="4056D38B" w14:textId="77777777" w:rsidR="00A239CC" w:rsidRPr="000212A1" w:rsidRDefault="00A239CC" w:rsidP="00F445A4">
            <w:pPr>
              <w:jc w:val="center"/>
              <w:rPr>
                <w:sz w:val="18"/>
                <w:szCs w:val="18"/>
              </w:rPr>
            </w:pPr>
            <w:r>
              <w:rPr>
                <w:sz w:val="18"/>
                <w:szCs w:val="18"/>
              </w:rPr>
              <w:t>250 €</w:t>
            </w:r>
          </w:p>
        </w:tc>
        <w:tc>
          <w:tcPr>
            <w:tcW w:w="964" w:type="dxa"/>
            <w:gridSpan w:val="2"/>
            <w:vAlign w:val="center"/>
          </w:tcPr>
          <w:p w14:paraId="5DFE618C" w14:textId="77777777" w:rsidR="00A239CC" w:rsidRPr="000212A1" w:rsidRDefault="00A239CC" w:rsidP="00F445A4">
            <w:pPr>
              <w:jc w:val="center"/>
              <w:rPr>
                <w:sz w:val="18"/>
                <w:szCs w:val="18"/>
              </w:rPr>
            </w:pPr>
            <w:r>
              <w:rPr>
                <w:sz w:val="18"/>
                <w:szCs w:val="18"/>
              </w:rPr>
              <w:t>300 €</w:t>
            </w:r>
          </w:p>
        </w:tc>
      </w:tr>
      <w:tr w:rsidR="00A239CC" w14:paraId="1B7F2FAC" w14:textId="77777777" w:rsidTr="00F445A4">
        <w:tc>
          <w:tcPr>
            <w:tcW w:w="8755" w:type="dxa"/>
          </w:tcPr>
          <w:p w14:paraId="77857793"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Opposition sur mutation (article 20 I de la loi du 10 juillet 1965</w:t>
            </w:r>
          </w:p>
        </w:tc>
        <w:tc>
          <w:tcPr>
            <w:tcW w:w="963" w:type="dxa"/>
            <w:vAlign w:val="center"/>
          </w:tcPr>
          <w:p w14:paraId="56492755" w14:textId="77777777" w:rsidR="00A239CC" w:rsidRPr="000212A1" w:rsidRDefault="00A239CC" w:rsidP="00F445A4">
            <w:pPr>
              <w:jc w:val="center"/>
              <w:rPr>
                <w:sz w:val="18"/>
                <w:szCs w:val="18"/>
              </w:rPr>
            </w:pPr>
            <w:r>
              <w:rPr>
                <w:sz w:val="18"/>
                <w:szCs w:val="18"/>
              </w:rPr>
              <w:t>100 €</w:t>
            </w:r>
          </w:p>
        </w:tc>
        <w:tc>
          <w:tcPr>
            <w:tcW w:w="964" w:type="dxa"/>
            <w:gridSpan w:val="2"/>
            <w:vAlign w:val="center"/>
          </w:tcPr>
          <w:p w14:paraId="4F76CC0F" w14:textId="77777777" w:rsidR="00A239CC" w:rsidRPr="000212A1" w:rsidRDefault="00A239CC" w:rsidP="00F445A4">
            <w:pPr>
              <w:jc w:val="center"/>
              <w:rPr>
                <w:sz w:val="18"/>
                <w:szCs w:val="18"/>
              </w:rPr>
            </w:pPr>
            <w:r>
              <w:rPr>
                <w:sz w:val="18"/>
                <w:szCs w:val="18"/>
              </w:rPr>
              <w:t>120 €</w:t>
            </w:r>
          </w:p>
        </w:tc>
      </w:tr>
      <w:tr w:rsidR="00A239CC" w14:paraId="2DED96D7" w14:textId="77777777" w:rsidTr="00F445A4">
        <w:tc>
          <w:tcPr>
            <w:tcW w:w="8755" w:type="dxa"/>
          </w:tcPr>
          <w:p w14:paraId="79549340"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Délivrance du certificat prévu à l'article 20 II de la loi du 10 juillet 1965</w:t>
            </w:r>
          </w:p>
        </w:tc>
        <w:tc>
          <w:tcPr>
            <w:tcW w:w="1927" w:type="dxa"/>
            <w:gridSpan w:val="3"/>
            <w:vAlign w:val="center"/>
          </w:tcPr>
          <w:p w14:paraId="3CA2002D" w14:textId="77777777" w:rsidR="00A239CC" w:rsidRPr="000212A1" w:rsidRDefault="00A239CC" w:rsidP="00F445A4">
            <w:pPr>
              <w:jc w:val="center"/>
              <w:rPr>
                <w:sz w:val="18"/>
                <w:szCs w:val="18"/>
              </w:rPr>
            </w:pPr>
            <w:r>
              <w:rPr>
                <w:sz w:val="18"/>
                <w:szCs w:val="18"/>
              </w:rPr>
              <w:t>Offerte</w:t>
            </w:r>
          </w:p>
        </w:tc>
      </w:tr>
      <w:tr w:rsidR="00A239CC" w14:paraId="09990888" w14:textId="77777777" w:rsidTr="00F445A4">
        <w:tc>
          <w:tcPr>
            <w:tcW w:w="10682" w:type="dxa"/>
            <w:gridSpan w:val="4"/>
            <w:shd w:val="clear" w:color="auto" w:fill="D9D9D9" w:themeFill="background1" w:themeFillShade="D9"/>
          </w:tcPr>
          <w:p w14:paraId="0EC07D71" w14:textId="77777777" w:rsidR="00A239CC" w:rsidRPr="000212A1" w:rsidRDefault="00A239CC" w:rsidP="00F445A4">
            <w:pPr>
              <w:rPr>
                <w:sz w:val="18"/>
                <w:szCs w:val="18"/>
              </w:rPr>
            </w:pPr>
            <w:r>
              <w:rPr>
                <w:sz w:val="18"/>
                <w:szCs w:val="18"/>
              </w:rPr>
              <w:lastRenderedPageBreak/>
              <w:t xml:space="preserve">Frais de délivrance des documents sur </w:t>
            </w:r>
            <w:proofErr w:type="gramStart"/>
            <w:r>
              <w:rPr>
                <w:sz w:val="18"/>
                <w:szCs w:val="18"/>
              </w:rPr>
              <w:t>support papier</w:t>
            </w:r>
            <w:proofErr w:type="gramEnd"/>
          </w:p>
        </w:tc>
      </w:tr>
      <w:tr w:rsidR="00A239CC" w14:paraId="5D286227" w14:textId="77777777" w:rsidTr="00F445A4">
        <w:tc>
          <w:tcPr>
            <w:tcW w:w="8755" w:type="dxa"/>
          </w:tcPr>
          <w:p w14:paraId="4EE910E3"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Délivrance d'une copie du carnet d'entretien</w:t>
            </w:r>
          </w:p>
        </w:tc>
        <w:tc>
          <w:tcPr>
            <w:tcW w:w="963" w:type="dxa"/>
            <w:vAlign w:val="center"/>
          </w:tcPr>
          <w:p w14:paraId="5E39B93E" w14:textId="77777777" w:rsidR="00A239CC" w:rsidRPr="000212A1" w:rsidRDefault="00A239CC" w:rsidP="00F445A4">
            <w:pPr>
              <w:jc w:val="center"/>
              <w:rPr>
                <w:sz w:val="18"/>
                <w:szCs w:val="18"/>
              </w:rPr>
            </w:pPr>
            <w:r>
              <w:rPr>
                <w:sz w:val="18"/>
                <w:szCs w:val="18"/>
              </w:rPr>
              <w:t>10 €</w:t>
            </w:r>
          </w:p>
        </w:tc>
        <w:tc>
          <w:tcPr>
            <w:tcW w:w="964" w:type="dxa"/>
            <w:gridSpan w:val="2"/>
            <w:vAlign w:val="center"/>
          </w:tcPr>
          <w:p w14:paraId="67846520" w14:textId="77777777" w:rsidR="00A239CC" w:rsidRPr="000212A1" w:rsidRDefault="00A239CC" w:rsidP="00F445A4">
            <w:pPr>
              <w:jc w:val="center"/>
              <w:rPr>
                <w:sz w:val="18"/>
                <w:szCs w:val="18"/>
              </w:rPr>
            </w:pPr>
            <w:r>
              <w:rPr>
                <w:sz w:val="18"/>
                <w:szCs w:val="18"/>
              </w:rPr>
              <w:t>12 €</w:t>
            </w:r>
          </w:p>
        </w:tc>
      </w:tr>
      <w:tr w:rsidR="00A239CC" w14:paraId="2572E449" w14:textId="77777777" w:rsidTr="00F445A4">
        <w:tc>
          <w:tcPr>
            <w:tcW w:w="8755" w:type="dxa"/>
          </w:tcPr>
          <w:p w14:paraId="714A50BA"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Délivrance d'une copie des diagnostics techniques</w:t>
            </w:r>
          </w:p>
        </w:tc>
        <w:tc>
          <w:tcPr>
            <w:tcW w:w="963" w:type="dxa"/>
            <w:vAlign w:val="center"/>
          </w:tcPr>
          <w:p w14:paraId="4B07D240" w14:textId="77777777" w:rsidR="00A239CC" w:rsidRPr="000212A1" w:rsidRDefault="00A239CC" w:rsidP="00F445A4">
            <w:pPr>
              <w:jc w:val="center"/>
              <w:rPr>
                <w:sz w:val="18"/>
                <w:szCs w:val="18"/>
              </w:rPr>
            </w:pPr>
            <w:r>
              <w:rPr>
                <w:sz w:val="18"/>
                <w:szCs w:val="18"/>
              </w:rPr>
              <w:t>10 €</w:t>
            </w:r>
          </w:p>
        </w:tc>
        <w:tc>
          <w:tcPr>
            <w:tcW w:w="964" w:type="dxa"/>
            <w:gridSpan w:val="2"/>
            <w:vAlign w:val="center"/>
          </w:tcPr>
          <w:p w14:paraId="0619C3A2" w14:textId="77777777" w:rsidR="00A239CC" w:rsidRPr="000212A1" w:rsidRDefault="00A239CC" w:rsidP="00F445A4">
            <w:pPr>
              <w:jc w:val="center"/>
              <w:rPr>
                <w:sz w:val="18"/>
                <w:szCs w:val="18"/>
              </w:rPr>
            </w:pPr>
            <w:r>
              <w:rPr>
                <w:sz w:val="18"/>
                <w:szCs w:val="18"/>
              </w:rPr>
              <w:t>12 €</w:t>
            </w:r>
          </w:p>
        </w:tc>
      </w:tr>
      <w:tr w:rsidR="00A239CC" w14:paraId="26BED8A2" w14:textId="77777777" w:rsidTr="00F445A4">
        <w:tc>
          <w:tcPr>
            <w:tcW w:w="8755" w:type="dxa"/>
          </w:tcPr>
          <w:p w14:paraId="43AC9478"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Délivrance des informations nécessaires à la réalisation d'un diagnostic de performance énergétique individuel mentionnées à l’article R.134-3 du Code de la construction et de l’habitation</w:t>
            </w:r>
          </w:p>
        </w:tc>
        <w:tc>
          <w:tcPr>
            <w:tcW w:w="963" w:type="dxa"/>
            <w:vAlign w:val="center"/>
          </w:tcPr>
          <w:p w14:paraId="4EC8922A" w14:textId="77777777" w:rsidR="00A239CC" w:rsidRPr="000212A1" w:rsidRDefault="00A239CC" w:rsidP="00F445A4">
            <w:pPr>
              <w:jc w:val="center"/>
              <w:rPr>
                <w:sz w:val="18"/>
                <w:szCs w:val="18"/>
              </w:rPr>
            </w:pPr>
            <w:r>
              <w:rPr>
                <w:sz w:val="18"/>
                <w:szCs w:val="18"/>
              </w:rPr>
              <w:t>10 €</w:t>
            </w:r>
          </w:p>
        </w:tc>
        <w:tc>
          <w:tcPr>
            <w:tcW w:w="964" w:type="dxa"/>
            <w:gridSpan w:val="2"/>
            <w:vAlign w:val="center"/>
          </w:tcPr>
          <w:p w14:paraId="7F9C358A" w14:textId="77777777" w:rsidR="00A239CC" w:rsidRPr="000212A1" w:rsidRDefault="00A239CC" w:rsidP="00F445A4">
            <w:pPr>
              <w:jc w:val="center"/>
              <w:rPr>
                <w:sz w:val="18"/>
                <w:szCs w:val="18"/>
              </w:rPr>
            </w:pPr>
            <w:r>
              <w:rPr>
                <w:sz w:val="18"/>
                <w:szCs w:val="18"/>
              </w:rPr>
              <w:t>12 €</w:t>
            </w:r>
          </w:p>
        </w:tc>
      </w:tr>
      <w:tr w:rsidR="00A239CC" w14:paraId="61E27C1B" w14:textId="77777777" w:rsidTr="00F445A4">
        <w:tc>
          <w:tcPr>
            <w:tcW w:w="8755" w:type="dxa"/>
          </w:tcPr>
          <w:p w14:paraId="02898F1B" w14:textId="77777777" w:rsidR="00A239CC" w:rsidRPr="00B441EE" w:rsidRDefault="00A239CC" w:rsidP="00F445A4">
            <w:pPr>
              <w:rPr>
                <w:rFonts w:cstheme="minorHAnsi"/>
                <w:sz w:val="16"/>
                <w:szCs w:val="16"/>
              </w:rPr>
            </w:pPr>
            <w:r w:rsidRPr="00B441EE">
              <w:rPr>
                <w:rFonts w:eastAsia="Times New Roman" w:cstheme="minorHAnsi"/>
                <w:color w:val="333333"/>
                <w:sz w:val="16"/>
                <w:szCs w:val="16"/>
                <w:lang w:eastAsia="fr-FR"/>
              </w:rPr>
              <w:t>Délivrance au copropriétaire d'une copie certifiée conforme ou d'un extrait de procès-verbal d'assemblée générale ainsi que des copies et annexes (hors notification effectuée en application de l'article 18 du décret du 17 mars 1967)</w:t>
            </w:r>
          </w:p>
        </w:tc>
        <w:tc>
          <w:tcPr>
            <w:tcW w:w="963" w:type="dxa"/>
            <w:vAlign w:val="center"/>
          </w:tcPr>
          <w:p w14:paraId="7243A086" w14:textId="77777777" w:rsidR="00A239CC" w:rsidRPr="000212A1" w:rsidRDefault="00A239CC" w:rsidP="00F445A4">
            <w:pPr>
              <w:jc w:val="center"/>
              <w:rPr>
                <w:sz w:val="18"/>
                <w:szCs w:val="18"/>
              </w:rPr>
            </w:pPr>
            <w:r>
              <w:rPr>
                <w:sz w:val="18"/>
                <w:szCs w:val="18"/>
              </w:rPr>
              <w:t>12,50 €</w:t>
            </w:r>
          </w:p>
        </w:tc>
        <w:tc>
          <w:tcPr>
            <w:tcW w:w="964" w:type="dxa"/>
            <w:gridSpan w:val="2"/>
            <w:vAlign w:val="center"/>
          </w:tcPr>
          <w:p w14:paraId="27722AD9" w14:textId="77777777" w:rsidR="00A239CC" w:rsidRPr="0043750F" w:rsidRDefault="00A239CC" w:rsidP="00F445A4">
            <w:pPr>
              <w:jc w:val="center"/>
              <w:rPr>
                <w:sz w:val="18"/>
                <w:szCs w:val="18"/>
              </w:rPr>
            </w:pPr>
            <w:r w:rsidRPr="0043750F">
              <w:rPr>
                <w:sz w:val="18"/>
                <w:szCs w:val="18"/>
              </w:rPr>
              <w:t>15 €</w:t>
            </w:r>
          </w:p>
        </w:tc>
      </w:tr>
    </w:tbl>
    <w:p w14:paraId="48BFF744" w14:textId="77777777" w:rsidR="00A239CC" w:rsidRPr="00E74B2F" w:rsidRDefault="00A239CC" w:rsidP="00A239CC">
      <w:pPr>
        <w:spacing w:after="0" w:line="240" w:lineRule="auto"/>
        <w:rPr>
          <w:sz w:val="16"/>
          <w:szCs w:val="16"/>
        </w:rPr>
      </w:pPr>
      <w:r>
        <w:rPr>
          <w:sz w:val="16"/>
          <w:szCs w:val="16"/>
        </w:rPr>
        <w:t xml:space="preserve">** </w:t>
      </w:r>
      <w:r w:rsidRPr="00E74B2F">
        <w:rPr>
          <w:sz w:val="16"/>
          <w:szCs w:val="16"/>
        </w:rPr>
        <w:t xml:space="preserve">Facturation du dépassement d’horaires à la vacation horaire majorée de 25%.      </w:t>
      </w:r>
      <w:r>
        <w:rPr>
          <w:sz w:val="16"/>
          <w:szCs w:val="16"/>
        </w:rPr>
        <w:t>*</w:t>
      </w:r>
      <w:r w:rsidRPr="00E74B2F">
        <w:rPr>
          <w:sz w:val="16"/>
          <w:szCs w:val="16"/>
        </w:rPr>
        <w:t xml:space="preserve">** </w:t>
      </w:r>
      <w:r>
        <w:rPr>
          <w:sz w:val="16"/>
          <w:szCs w:val="16"/>
        </w:rPr>
        <w:t>Vacation horaire m</w:t>
      </w:r>
      <w:r w:rsidRPr="00E74B2F">
        <w:rPr>
          <w:sz w:val="16"/>
          <w:szCs w:val="16"/>
        </w:rPr>
        <w:t>ajoré de 50% en dehors des heures ouvrables.</w:t>
      </w:r>
    </w:p>
    <w:p w14:paraId="3D8119B6" w14:textId="77777777" w:rsidR="00A239CC" w:rsidRDefault="00A239CC" w:rsidP="00356810">
      <w:pPr>
        <w:spacing w:after="0" w:line="240" w:lineRule="auto"/>
        <w:rPr>
          <w:sz w:val="18"/>
          <w:szCs w:val="18"/>
        </w:rPr>
      </w:pPr>
    </w:p>
    <w:sectPr w:rsidR="00A239CC" w:rsidSect="00521D92">
      <w:headerReference w:type="default" r:id="rId7"/>
      <w:foot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9D84" w14:textId="77777777" w:rsidR="00BC11C7" w:rsidRDefault="00BC11C7" w:rsidP="002865B6">
      <w:pPr>
        <w:spacing w:after="0" w:line="240" w:lineRule="auto"/>
      </w:pPr>
      <w:r>
        <w:separator/>
      </w:r>
    </w:p>
  </w:endnote>
  <w:endnote w:type="continuationSeparator" w:id="0">
    <w:p w14:paraId="46EED1E5" w14:textId="77777777" w:rsidR="00BC11C7" w:rsidRDefault="00BC11C7" w:rsidP="0028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0E91" w14:textId="612CFA5F" w:rsidR="002865B6" w:rsidRPr="00356810" w:rsidRDefault="002865B6" w:rsidP="002865B6">
    <w:pPr>
      <w:spacing w:after="0" w:line="240" w:lineRule="auto"/>
      <w:jc w:val="center"/>
      <w:rPr>
        <w:i/>
        <w:iCs/>
        <w:sz w:val="16"/>
        <w:szCs w:val="16"/>
      </w:rPr>
    </w:pPr>
    <w:r w:rsidRPr="00356810">
      <w:rPr>
        <w:i/>
        <w:iCs/>
        <w:sz w:val="16"/>
        <w:szCs w:val="16"/>
      </w:rPr>
      <w:t>SAS Investissement Immobilier de l’Ouest au Capital de 40 000 € - RSC VANNES B 333 832 269</w:t>
    </w:r>
  </w:p>
  <w:p w14:paraId="4BF9B9CD" w14:textId="77777777" w:rsidR="002865B6" w:rsidRPr="00356810" w:rsidRDefault="002865B6" w:rsidP="002865B6">
    <w:pPr>
      <w:spacing w:after="0" w:line="240" w:lineRule="auto"/>
      <w:jc w:val="center"/>
      <w:rPr>
        <w:i/>
        <w:iCs/>
        <w:sz w:val="16"/>
        <w:szCs w:val="16"/>
      </w:rPr>
    </w:pPr>
    <w:r w:rsidRPr="00356810">
      <w:rPr>
        <w:i/>
        <w:iCs/>
        <w:sz w:val="16"/>
        <w:szCs w:val="16"/>
      </w:rPr>
      <w:t xml:space="preserve">2 Place des Huniers – Port du </w:t>
    </w:r>
    <w:proofErr w:type="spellStart"/>
    <w:r w:rsidRPr="00356810">
      <w:rPr>
        <w:i/>
        <w:iCs/>
        <w:sz w:val="16"/>
        <w:szCs w:val="16"/>
      </w:rPr>
      <w:t>Crouesty</w:t>
    </w:r>
    <w:proofErr w:type="spellEnd"/>
    <w:r w:rsidRPr="00356810">
      <w:rPr>
        <w:i/>
        <w:iCs/>
        <w:sz w:val="16"/>
        <w:szCs w:val="16"/>
      </w:rPr>
      <w:t xml:space="preserve"> – 56640 - ARZON</w:t>
    </w:r>
  </w:p>
  <w:p w14:paraId="7C574435" w14:textId="2BE4C0BE" w:rsidR="002865B6" w:rsidRPr="00356810" w:rsidRDefault="002865B6" w:rsidP="002865B6">
    <w:pPr>
      <w:spacing w:after="0" w:line="240" w:lineRule="auto"/>
      <w:jc w:val="center"/>
      <w:rPr>
        <w:i/>
        <w:iCs/>
        <w:sz w:val="16"/>
        <w:szCs w:val="16"/>
      </w:rPr>
    </w:pPr>
    <w:r w:rsidRPr="00356810">
      <w:rPr>
        <w:i/>
        <w:iCs/>
        <w:sz w:val="16"/>
        <w:szCs w:val="16"/>
      </w:rPr>
      <w:t>Carte Professionnelle N°CPI 5605 2017 000 017 792. Délivrée par la CCI du Morbihan.</w:t>
    </w:r>
    <w:r w:rsidRPr="00356810">
      <w:rPr>
        <w:i/>
        <w:iCs/>
        <w:sz w:val="16"/>
        <w:szCs w:val="16"/>
      </w:rPr>
      <w:t xml:space="preserve"> </w:t>
    </w:r>
    <w:r w:rsidRPr="00356810">
      <w:rPr>
        <w:i/>
        <w:iCs/>
        <w:sz w:val="16"/>
        <w:szCs w:val="16"/>
      </w:rPr>
      <w:t xml:space="preserve">GALIAN – 89 rue La </w:t>
    </w:r>
    <w:r w:rsidRPr="00356810">
      <w:rPr>
        <w:i/>
        <w:iCs/>
        <w:sz w:val="16"/>
        <w:szCs w:val="16"/>
      </w:rPr>
      <w:t xml:space="preserve">Boétie </w:t>
    </w:r>
    <w:proofErr w:type="gramStart"/>
    <w:r w:rsidRPr="00356810">
      <w:rPr>
        <w:i/>
        <w:iCs/>
        <w:sz w:val="16"/>
        <w:szCs w:val="16"/>
      </w:rPr>
      <w:t>75008</w:t>
    </w:r>
    <w:r w:rsidRPr="00356810">
      <w:rPr>
        <w:i/>
        <w:iCs/>
        <w:sz w:val="16"/>
        <w:szCs w:val="16"/>
      </w:rPr>
      <w:t xml:space="preserve">  PARIS</w:t>
    </w:r>
    <w:proofErr w:type="gramEnd"/>
    <w:r w:rsidRPr="00356810">
      <w:rPr>
        <w:i/>
        <w:iCs/>
        <w:sz w:val="16"/>
        <w:szCs w:val="16"/>
      </w:rPr>
      <w:t xml:space="preserve">    Garantie financière de 140 000 € en Transaction - 140 000 € en Gestion – 120 000 € en Syndic.</w:t>
    </w:r>
  </w:p>
  <w:p w14:paraId="415B0574" w14:textId="17A2F20F" w:rsidR="002865B6" w:rsidRPr="00356810" w:rsidRDefault="002865B6" w:rsidP="002865B6">
    <w:pPr>
      <w:pStyle w:val="Pieddepage"/>
      <w:jc w:val="center"/>
      <w:rPr>
        <w:i/>
        <w:iCs/>
        <w:sz w:val="16"/>
        <w:szCs w:val="16"/>
      </w:rPr>
    </w:pPr>
  </w:p>
  <w:p w14:paraId="2840D550" w14:textId="77777777" w:rsidR="002865B6" w:rsidRPr="00356810" w:rsidRDefault="002865B6">
    <w:pPr>
      <w:pStyle w:val="Pieddepage"/>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31A9" w14:textId="77777777" w:rsidR="00BC11C7" w:rsidRDefault="00BC11C7" w:rsidP="002865B6">
      <w:pPr>
        <w:spacing w:after="0" w:line="240" w:lineRule="auto"/>
      </w:pPr>
      <w:r>
        <w:separator/>
      </w:r>
    </w:p>
  </w:footnote>
  <w:footnote w:type="continuationSeparator" w:id="0">
    <w:p w14:paraId="10B736AE" w14:textId="77777777" w:rsidR="00BC11C7" w:rsidRDefault="00BC11C7" w:rsidP="00286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494B" w14:textId="36A1981C" w:rsidR="002865B6" w:rsidRDefault="00356810">
    <w:pPr>
      <w:pStyle w:val="En-tte"/>
    </w:pPr>
    <w:r>
      <w:rPr>
        <w:noProof/>
        <w:sz w:val="16"/>
        <w:szCs w:val="16"/>
        <w:lang w:eastAsia="fr-FR"/>
      </w:rPr>
      <w:drawing>
        <wp:anchor distT="0" distB="0" distL="114300" distR="114300" simplePos="0" relativeHeight="251659264" behindDoc="0" locked="0" layoutInCell="1" allowOverlap="1" wp14:anchorId="59CB89FA" wp14:editId="7B84AF14">
          <wp:simplePos x="0" y="0"/>
          <wp:positionH relativeFrom="column">
            <wp:posOffset>-143933</wp:posOffset>
          </wp:positionH>
          <wp:positionV relativeFrom="paragraph">
            <wp:posOffset>-178858</wp:posOffset>
          </wp:positionV>
          <wp:extent cx="2065655" cy="853440"/>
          <wp:effectExtent l="0" t="0" r="4445" b="0"/>
          <wp:wrapSquare wrapText="bothSides"/>
          <wp:docPr id="2" name="Image 1" descr="Logo ORPI Sans la dev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PI Sans la devi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655" cy="853440"/>
                  </a:xfrm>
                  <a:prstGeom prst="rect">
                    <a:avLst/>
                  </a:prstGeom>
                </pic:spPr>
              </pic:pic>
            </a:graphicData>
          </a:graphic>
          <wp14:sizeRelH relativeFrom="margin">
            <wp14:pctWidth>0</wp14:pctWidth>
          </wp14:sizeRelH>
          <wp14:sizeRelV relativeFrom="margin">
            <wp14:pctHeight>0</wp14:pctHeight>
          </wp14:sizeRelV>
        </wp:anchor>
      </w:drawing>
    </w:r>
  </w:p>
  <w:p w14:paraId="4416E9E0" w14:textId="46B55C45" w:rsidR="002865B6" w:rsidRDefault="002865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38"/>
    <w:rsid w:val="000636DF"/>
    <w:rsid w:val="00091FEE"/>
    <w:rsid w:val="00092506"/>
    <w:rsid w:val="000A769F"/>
    <w:rsid w:val="000C743D"/>
    <w:rsid w:val="00112780"/>
    <w:rsid w:val="00123134"/>
    <w:rsid w:val="001C265F"/>
    <w:rsid w:val="002065FA"/>
    <w:rsid w:val="0027692E"/>
    <w:rsid w:val="002865B6"/>
    <w:rsid w:val="002B649B"/>
    <w:rsid w:val="002F0AC0"/>
    <w:rsid w:val="00303F10"/>
    <w:rsid w:val="00306A98"/>
    <w:rsid w:val="003103EB"/>
    <w:rsid w:val="003475AA"/>
    <w:rsid w:val="003543A0"/>
    <w:rsid w:val="00356810"/>
    <w:rsid w:val="003C119F"/>
    <w:rsid w:val="003C32B5"/>
    <w:rsid w:val="003D2983"/>
    <w:rsid w:val="00456D8D"/>
    <w:rsid w:val="0047112A"/>
    <w:rsid w:val="004D2672"/>
    <w:rsid w:val="0050165D"/>
    <w:rsid w:val="00504327"/>
    <w:rsid w:val="005137F1"/>
    <w:rsid w:val="00521D92"/>
    <w:rsid w:val="0055139B"/>
    <w:rsid w:val="0055610E"/>
    <w:rsid w:val="00571625"/>
    <w:rsid w:val="005C43CA"/>
    <w:rsid w:val="005C4DF5"/>
    <w:rsid w:val="005C5B41"/>
    <w:rsid w:val="005E65FF"/>
    <w:rsid w:val="00612B61"/>
    <w:rsid w:val="00623DA2"/>
    <w:rsid w:val="00661E1E"/>
    <w:rsid w:val="006E6999"/>
    <w:rsid w:val="00713DE3"/>
    <w:rsid w:val="007513A2"/>
    <w:rsid w:val="007C1082"/>
    <w:rsid w:val="007C5088"/>
    <w:rsid w:val="007E1E4B"/>
    <w:rsid w:val="00802594"/>
    <w:rsid w:val="008350A9"/>
    <w:rsid w:val="008422DE"/>
    <w:rsid w:val="00896A89"/>
    <w:rsid w:val="008A6EED"/>
    <w:rsid w:val="008B2753"/>
    <w:rsid w:val="008B3CAE"/>
    <w:rsid w:val="008D37F8"/>
    <w:rsid w:val="00906ED5"/>
    <w:rsid w:val="009459D9"/>
    <w:rsid w:val="00953F7C"/>
    <w:rsid w:val="009A3C67"/>
    <w:rsid w:val="009B06BC"/>
    <w:rsid w:val="009B0E1E"/>
    <w:rsid w:val="009F67C6"/>
    <w:rsid w:val="00A17448"/>
    <w:rsid w:val="00A215FC"/>
    <w:rsid w:val="00A239CC"/>
    <w:rsid w:val="00A564AF"/>
    <w:rsid w:val="00AB7516"/>
    <w:rsid w:val="00AF76B4"/>
    <w:rsid w:val="00B01290"/>
    <w:rsid w:val="00B116AC"/>
    <w:rsid w:val="00B86BB4"/>
    <w:rsid w:val="00B9362F"/>
    <w:rsid w:val="00BC11C7"/>
    <w:rsid w:val="00BE203B"/>
    <w:rsid w:val="00BF3F08"/>
    <w:rsid w:val="00C13E08"/>
    <w:rsid w:val="00C23AEE"/>
    <w:rsid w:val="00CD1A82"/>
    <w:rsid w:val="00D01002"/>
    <w:rsid w:val="00DA56D9"/>
    <w:rsid w:val="00DC2E54"/>
    <w:rsid w:val="00DF282B"/>
    <w:rsid w:val="00E24C38"/>
    <w:rsid w:val="00E619E2"/>
    <w:rsid w:val="00EF29D3"/>
    <w:rsid w:val="00F011F7"/>
    <w:rsid w:val="00F06718"/>
    <w:rsid w:val="00F36CB4"/>
    <w:rsid w:val="00F405BD"/>
    <w:rsid w:val="00FC0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6D0F"/>
  <w15:docId w15:val="{86E2B4E9-C62B-4EC5-B069-EDC7D800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24C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C38"/>
    <w:rPr>
      <w:rFonts w:ascii="Tahoma" w:hAnsi="Tahoma" w:cs="Tahoma"/>
      <w:sz w:val="16"/>
      <w:szCs w:val="16"/>
    </w:rPr>
  </w:style>
  <w:style w:type="paragraph" w:styleId="En-tte">
    <w:name w:val="header"/>
    <w:basedOn w:val="Normal"/>
    <w:link w:val="En-tteCar"/>
    <w:uiPriority w:val="99"/>
    <w:unhideWhenUsed/>
    <w:rsid w:val="002865B6"/>
    <w:pPr>
      <w:tabs>
        <w:tab w:val="center" w:pos="4536"/>
        <w:tab w:val="right" w:pos="9072"/>
      </w:tabs>
      <w:spacing w:after="0" w:line="240" w:lineRule="auto"/>
    </w:pPr>
  </w:style>
  <w:style w:type="character" w:customStyle="1" w:styleId="En-tteCar">
    <w:name w:val="En-tête Car"/>
    <w:basedOn w:val="Policepardfaut"/>
    <w:link w:val="En-tte"/>
    <w:uiPriority w:val="99"/>
    <w:rsid w:val="002865B6"/>
  </w:style>
  <w:style w:type="paragraph" w:styleId="Pieddepage">
    <w:name w:val="footer"/>
    <w:basedOn w:val="Normal"/>
    <w:link w:val="PieddepageCar"/>
    <w:uiPriority w:val="99"/>
    <w:unhideWhenUsed/>
    <w:rsid w:val="002865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8B419-2F51-4B8C-BAF7-ED8F333C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LOCATION</dc:creator>
  <cp:lastModifiedBy>Emilie ESKENAZI</cp:lastModifiedBy>
  <cp:revision>8</cp:revision>
  <cp:lastPrinted>2022-02-17T07:58:00Z</cp:lastPrinted>
  <dcterms:created xsi:type="dcterms:W3CDTF">2024-05-30T12:42:00Z</dcterms:created>
  <dcterms:modified xsi:type="dcterms:W3CDTF">2024-05-31T09:29:00Z</dcterms:modified>
</cp:coreProperties>
</file>