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8F" w:rsidRDefault="0038718F">
      <w:pPr>
        <w:pStyle w:val="Corpsdetexte"/>
        <w:rPr>
          <w:rFonts w:ascii="Times New Roman"/>
          <w:sz w:val="32"/>
        </w:rPr>
      </w:pPr>
    </w:p>
    <w:p w:rsidR="0038718F" w:rsidRDefault="0038718F">
      <w:pPr>
        <w:pStyle w:val="Corpsdetexte"/>
        <w:rPr>
          <w:rFonts w:ascii="Times New Roman"/>
          <w:sz w:val="32"/>
        </w:rPr>
      </w:pPr>
    </w:p>
    <w:p w:rsidR="0038718F" w:rsidRDefault="0038718F">
      <w:pPr>
        <w:pStyle w:val="Corpsdetexte"/>
        <w:rPr>
          <w:rFonts w:ascii="Times New Roman"/>
          <w:sz w:val="32"/>
        </w:rPr>
      </w:pPr>
    </w:p>
    <w:p w:rsidR="0038718F" w:rsidRDefault="0038718F">
      <w:pPr>
        <w:pStyle w:val="Corpsdetexte"/>
        <w:spacing w:before="95"/>
        <w:rPr>
          <w:rFonts w:ascii="Times New Roman"/>
          <w:sz w:val="32"/>
        </w:rPr>
      </w:pPr>
    </w:p>
    <w:p w:rsidR="0038718F" w:rsidRDefault="009F4CCF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8719769</wp:posOffset>
            </wp:positionH>
            <wp:positionV relativeFrom="paragraph">
              <wp:posOffset>-993676</wp:posOffset>
            </wp:positionV>
            <wp:extent cx="1781860" cy="1168761"/>
            <wp:effectExtent l="0" t="0" r="0" b="0"/>
            <wp:wrapNone/>
            <wp:docPr id="2" name="Image 2" descr="Une image contenant dessin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60" cy="116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ALCYADE</w:t>
      </w:r>
      <w:r w:rsidR="008C35CC">
        <w:t xml:space="preserve">  </w:t>
      </w:r>
      <w:r>
        <w:rPr>
          <w:spacing w:val="-2"/>
        </w:rPr>
        <w:t>Immobilier</w:t>
      </w:r>
    </w:p>
    <w:p w:rsidR="0038718F" w:rsidRDefault="0038718F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8" w:space="0" w:color="2E528F"/>
          <w:left w:val="single" w:sz="8" w:space="0" w:color="2E528F"/>
          <w:bottom w:val="single" w:sz="8" w:space="0" w:color="2E528F"/>
          <w:right w:val="single" w:sz="8" w:space="0" w:color="2E528F"/>
          <w:insideH w:val="single" w:sz="8" w:space="0" w:color="2E528F"/>
          <w:insideV w:val="single" w:sz="8" w:space="0" w:color="2E528F"/>
        </w:tblBorders>
        <w:tblLayout w:type="fixed"/>
        <w:tblLook w:val="01E0"/>
      </w:tblPr>
      <w:tblGrid>
        <w:gridCol w:w="2794"/>
        <w:gridCol w:w="7170"/>
        <w:gridCol w:w="4106"/>
      </w:tblGrid>
      <w:tr w:rsidR="0038718F" w:rsidTr="008C35CC">
        <w:trPr>
          <w:trHeight w:val="460"/>
        </w:trPr>
        <w:tc>
          <w:tcPr>
            <w:tcW w:w="2794" w:type="dxa"/>
            <w:tcBorders>
              <w:right w:val="single" w:sz="6" w:space="0" w:color="000000"/>
            </w:tcBorders>
            <w:shd w:val="clear" w:color="auto" w:fill="FF0000"/>
          </w:tcPr>
          <w:p w:rsidR="0038718F" w:rsidRDefault="003871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8718F" w:rsidRDefault="009F4CCF" w:rsidP="008C35CC">
            <w:pPr>
              <w:pStyle w:val="TableParagraph"/>
              <w:spacing w:before="99" w:line="240" w:lineRule="auto"/>
              <w:ind w:left="16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HONORAIRES–TRANSACTION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VENTE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TTC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(à</w:t>
            </w:r>
            <w:r w:rsidR="008C35C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compter</w:t>
            </w:r>
            <w:r w:rsidR="008C35C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 w:rsidR="008C35CC">
              <w:rPr>
                <w:rFonts w:ascii="Calibri" w:hAnsi="Calibri"/>
                <w:sz w:val="20"/>
              </w:rPr>
              <w:t xml:space="preserve"> 20 décembre 2024</w:t>
            </w:r>
            <w:r>
              <w:rPr>
                <w:rFonts w:ascii="Calibri" w:hAnsi="Calibri"/>
                <w:spacing w:val="-2"/>
                <w:sz w:val="20"/>
              </w:rPr>
              <w:t>)</w:t>
            </w:r>
          </w:p>
        </w:tc>
        <w:tc>
          <w:tcPr>
            <w:tcW w:w="4106" w:type="dxa"/>
            <w:tcBorders>
              <w:left w:val="single" w:sz="6" w:space="0" w:color="000000"/>
            </w:tcBorders>
            <w:shd w:val="clear" w:color="auto" w:fill="FF0000"/>
          </w:tcPr>
          <w:p w:rsidR="0038718F" w:rsidRDefault="003871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38718F" w:rsidRDefault="0038718F">
      <w:pPr>
        <w:rPr>
          <w:b/>
          <w:sz w:val="20"/>
        </w:rPr>
      </w:pPr>
    </w:p>
    <w:p w:rsidR="0038718F" w:rsidRDefault="0038718F">
      <w:pPr>
        <w:spacing w:before="2"/>
        <w:rPr>
          <w:b/>
          <w:sz w:val="20"/>
        </w:rPr>
      </w:pPr>
    </w:p>
    <w:p w:rsidR="0038718F" w:rsidRDefault="009F4CCF">
      <w:pPr>
        <w:pStyle w:val="Corpsdetexte"/>
        <w:ind w:right="359"/>
        <w:jc w:val="center"/>
      </w:pPr>
      <w:r>
        <w:t>Les</w:t>
      </w:r>
      <w:r w:rsidR="008C35CC">
        <w:t xml:space="preserve"> </w:t>
      </w:r>
      <w:r>
        <w:t>honoraires</w:t>
      </w:r>
      <w:r w:rsidR="008C35CC">
        <w:t xml:space="preserve"> </w:t>
      </w:r>
      <w:r>
        <w:t>de</w:t>
      </w:r>
      <w:r w:rsidR="008C35CC">
        <w:t xml:space="preserve"> </w:t>
      </w:r>
      <w:r>
        <w:t>l’agence</w:t>
      </w:r>
      <w:r w:rsidR="008C35CC">
        <w:t xml:space="preserve"> </w:t>
      </w:r>
      <w:r>
        <w:t>seron</w:t>
      </w:r>
      <w:r>
        <w:t>t</w:t>
      </w:r>
      <w:r w:rsidR="008C35CC">
        <w:t xml:space="preserve"> </w:t>
      </w:r>
      <w:r>
        <w:t>à</w:t>
      </w:r>
      <w:r w:rsidR="008C35CC">
        <w:t xml:space="preserve"> </w:t>
      </w:r>
      <w:r>
        <w:t>la</w:t>
      </w:r>
      <w:r w:rsidR="008C35CC">
        <w:t xml:space="preserve"> </w:t>
      </w:r>
      <w:r>
        <w:t>charge</w:t>
      </w:r>
      <w:r w:rsidR="008C35CC">
        <w:t xml:space="preserve"> </w:t>
      </w:r>
      <w:r>
        <w:t>de</w:t>
      </w:r>
      <w:r w:rsidR="008C35CC">
        <w:t xml:space="preserve"> </w:t>
      </w:r>
      <w:r>
        <w:t>l’acquéreur,</w:t>
      </w:r>
      <w:r w:rsidR="008C35CC">
        <w:t xml:space="preserve"> </w:t>
      </w:r>
      <w:r>
        <w:t>excepté</w:t>
      </w:r>
      <w:r w:rsidR="008C35CC">
        <w:t xml:space="preserve"> </w:t>
      </w:r>
      <w:r>
        <w:t>dans</w:t>
      </w:r>
      <w:r w:rsidR="008C35CC">
        <w:t xml:space="preserve"> </w:t>
      </w:r>
      <w:r>
        <w:t>le</w:t>
      </w:r>
      <w:r w:rsidR="008C35CC">
        <w:t xml:space="preserve"> </w:t>
      </w:r>
      <w:r>
        <w:t>cas</w:t>
      </w:r>
      <w:r w:rsidR="008C35CC">
        <w:t xml:space="preserve"> </w:t>
      </w:r>
      <w:r>
        <w:t>ou</w:t>
      </w:r>
      <w:r w:rsidR="008C35CC">
        <w:t xml:space="preserve"> </w:t>
      </w:r>
      <w:r>
        <w:t>levendeur</w:t>
      </w:r>
      <w:r w:rsidR="008C35CC">
        <w:t xml:space="preserve"> </w:t>
      </w:r>
      <w:r>
        <w:t>accepterait</w:t>
      </w:r>
      <w:r w:rsidR="008C35CC">
        <w:t xml:space="preserve"> </w:t>
      </w:r>
      <w:r>
        <w:t>de</w:t>
      </w:r>
      <w:r w:rsidR="008C35CC">
        <w:t xml:space="preserve"> </w:t>
      </w:r>
      <w:r>
        <w:t>les</w:t>
      </w:r>
      <w:r w:rsidR="008C35CC">
        <w:t xml:space="preserve"> </w:t>
      </w:r>
      <w:r>
        <w:t>prendre</w:t>
      </w:r>
      <w:r w:rsidR="008C35CC">
        <w:t xml:space="preserve"> </w:t>
      </w:r>
      <w:r>
        <w:t>à</w:t>
      </w:r>
      <w:r w:rsidR="008C35CC">
        <w:t xml:space="preserve"> </w:t>
      </w:r>
      <w:r>
        <w:t>sa</w:t>
      </w:r>
      <w:r w:rsidR="008C35CC">
        <w:t xml:space="preserve"> </w:t>
      </w:r>
      <w:r>
        <w:rPr>
          <w:spacing w:val="-2"/>
        </w:rPr>
        <w:t>charge.</w:t>
      </w:r>
    </w:p>
    <w:p w:rsidR="0038718F" w:rsidRDefault="0038718F">
      <w:pPr>
        <w:rPr>
          <w:sz w:val="20"/>
        </w:rPr>
      </w:pPr>
    </w:p>
    <w:p w:rsidR="0038718F" w:rsidRDefault="0038718F">
      <w:pPr>
        <w:spacing w:before="57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978"/>
        <w:gridCol w:w="5705"/>
        <w:gridCol w:w="4278"/>
      </w:tblGrid>
      <w:tr w:rsidR="0038718F">
        <w:trPr>
          <w:trHeight w:val="341"/>
        </w:trPr>
        <w:tc>
          <w:tcPr>
            <w:tcW w:w="3978" w:type="dxa"/>
          </w:tcPr>
          <w:p w:rsidR="0038718F" w:rsidRDefault="009F4CCF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Prix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ven</w:t>
            </w:r>
            <w:r>
              <w:rPr>
                <w:b/>
                <w:sz w:val="20"/>
              </w:rPr>
              <w:t>te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8C35CC">
            <w:pPr>
              <w:pStyle w:val="TableParagraph"/>
              <w:spacing w:line="223" w:lineRule="exact"/>
              <w:ind w:left="785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9F4CCF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 w:rsidR="009F4CCF">
              <w:rPr>
                <w:b/>
                <w:spacing w:val="-2"/>
                <w:sz w:val="20"/>
              </w:rPr>
              <w:t>Euros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spacing w:line="223" w:lineRule="exact"/>
              <w:ind w:left="1720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commission</w:t>
            </w:r>
          </w:p>
        </w:tc>
      </w:tr>
      <w:tr w:rsidR="0038718F">
        <w:trPr>
          <w:trHeight w:val="345"/>
        </w:trPr>
        <w:tc>
          <w:tcPr>
            <w:tcW w:w="3978" w:type="dxa"/>
          </w:tcPr>
          <w:p w:rsidR="0038718F" w:rsidRDefault="008C35CC">
            <w:pPr>
              <w:pStyle w:val="TableParagraph"/>
              <w:spacing w:before="112" w:line="21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Au-de</w:t>
            </w:r>
            <w:r>
              <w:rPr>
                <w:b/>
                <w:sz w:val="20"/>
              </w:rPr>
              <w:t xml:space="preserve"> </w:t>
            </w:r>
            <w:r w:rsidR="009F4CCF">
              <w:rPr>
                <w:b/>
                <w:sz w:val="20"/>
              </w:rPr>
              <w:t>là</w:t>
            </w:r>
            <w:r>
              <w:rPr>
                <w:b/>
                <w:sz w:val="20"/>
              </w:rPr>
              <w:t xml:space="preserve"> </w:t>
            </w:r>
            <w:r w:rsidR="009F4CCF">
              <w:rPr>
                <w:b/>
                <w:sz w:val="20"/>
              </w:rPr>
              <w:t>de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spacing w:before="112" w:line="214" w:lineRule="exact"/>
              <w:ind w:left="7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600.001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spacing w:before="112" w:line="214" w:lineRule="exact"/>
              <w:ind w:left="28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8C35CC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%</w:t>
            </w:r>
          </w:p>
        </w:tc>
      </w:tr>
      <w:tr w:rsidR="0038718F">
        <w:trPr>
          <w:trHeight w:val="230"/>
        </w:trPr>
        <w:tc>
          <w:tcPr>
            <w:tcW w:w="3978" w:type="dxa"/>
          </w:tcPr>
          <w:p w:rsidR="0038718F" w:rsidRDefault="008C35C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 w:rsidP="008C35CC">
            <w:pPr>
              <w:pStyle w:val="TableParagraph"/>
              <w:ind w:right="17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600.000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ind w:left="284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38718F">
        <w:trPr>
          <w:trHeight w:val="230"/>
        </w:trPr>
        <w:tc>
          <w:tcPr>
            <w:tcW w:w="3978" w:type="dxa"/>
          </w:tcPr>
          <w:p w:rsidR="0038718F" w:rsidRDefault="008C35C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ind w:right="17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360.000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ind w:left="2568"/>
              <w:rPr>
                <w:b/>
                <w:sz w:val="20"/>
              </w:rPr>
            </w:pPr>
            <w:r>
              <w:rPr>
                <w:b/>
                <w:sz w:val="20"/>
              </w:rPr>
              <w:t>5,50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%</w:t>
            </w:r>
          </w:p>
        </w:tc>
      </w:tr>
      <w:tr w:rsidR="0038718F">
        <w:trPr>
          <w:trHeight w:val="229"/>
        </w:trPr>
        <w:tc>
          <w:tcPr>
            <w:tcW w:w="3978" w:type="dxa"/>
          </w:tcPr>
          <w:p w:rsidR="0038718F" w:rsidRDefault="008C35CC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 w:rsidP="008C35CC">
            <w:pPr>
              <w:pStyle w:val="TableParagraph"/>
              <w:spacing w:line="209" w:lineRule="exact"/>
              <w:ind w:right="17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240.000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spacing w:line="209" w:lineRule="exact"/>
              <w:ind w:left="2574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%</w:t>
            </w:r>
          </w:p>
        </w:tc>
      </w:tr>
      <w:tr w:rsidR="0038718F">
        <w:trPr>
          <w:trHeight w:val="229"/>
        </w:trPr>
        <w:tc>
          <w:tcPr>
            <w:tcW w:w="3978" w:type="dxa"/>
          </w:tcPr>
          <w:p w:rsidR="0038718F" w:rsidRDefault="008C35CC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spacing w:line="209" w:lineRule="exact"/>
              <w:ind w:right="17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150.000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spacing w:line="209" w:lineRule="exact"/>
              <w:ind w:left="2574"/>
              <w:rPr>
                <w:b/>
                <w:sz w:val="20"/>
              </w:rPr>
            </w:pPr>
            <w:r>
              <w:rPr>
                <w:b/>
                <w:sz w:val="20"/>
              </w:rPr>
              <w:t>6,50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%</w:t>
            </w:r>
          </w:p>
        </w:tc>
      </w:tr>
      <w:tr w:rsidR="0038718F">
        <w:trPr>
          <w:trHeight w:val="230"/>
        </w:trPr>
        <w:tc>
          <w:tcPr>
            <w:tcW w:w="3978" w:type="dxa"/>
          </w:tcPr>
          <w:p w:rsidR="0038718F" w:rsidRDefault="008C35C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ind w:right="17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120.000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ind w:left="2568"/>
              <w:rPr>
                <w:b/>
                <w:sz w:val="20"/>
              </w:rPr>
            </w:pPr>
            <w:r>
              <w:rPr>
                <w:b/>
                <w:sz w:val="20"/>
              </w:rPr>
              <w:t>7,50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%</w:t>
            </w:r>
          </w:p>
        </w:tc>
      </w:tr>
      <w:tr w:rsidR="0038718F">
        <w:trPr>
          <w:trHeight w:val="230"/>
        </w:trPr>
        <w:tc>
          <w:tcPr>
            <w:tcW w:w="3978" w:type="dxa"/>
          </w:tcPr>
          <w:p w:rsidR="0038718F" w:rsidRDefault="008C35C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9F4CCF">
              <w:rPr>
                <w:b/>
                <w:sz w:val="20"/>
              </w:rPr>
              <w:t>Entre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ind w:right="17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50.001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80.000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ind w:left="2566"/>
              <w:rPr>
                <w:b/>
                <w:sz w:val="20"/>
              </w:rPr>
            </w:pPr>
            <w:r>
              <w:rPr>
                <w:b/>
                <w:sz w:val="20"/>
              </w:rPr>
              <w:t>8,00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%</w:t>
            </w:r>
          </w:p>
        </w:tc>
      </w:tr>
      <w:tr w:rsidR="0038718F">
        <w:trPr>
          <w:trHeight w:val="226"/>
        </w:trPr>
        <w:tc>
          <w:tcPr>
            <w:tcW w:w="3978" w:type="dxa"/>
          </w:tcPr>
          <w:p w:rsidR="0038718F" w:rsidRDefault="008C35CC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</w:t>
            </w:r>
            <w:r w:rsidR="009F4CCF">
              <w:rPr>
                <w:b/>
                <w:sz w:val="20"/>
              </w:rPr>
              <w:t>Moins</w:t>
            </w:r>
            <w:r>
              <w:rPr>
                <w:b/>
                <w:sz w:val="20"/>
              </w:rPr>
              <w:t xml:space="preserve"> </w:t>
            </w:r>
            <w:r w:rsidR="009F4CCF">
              <w:rPr>
                <w:b/>
                <w:sz w:val="20"/>
              </w:rPr>
              <w:t>d</w:t>
            </w:r>
            <w:r w:rsidR="009F4CCF">
              <w:rPr>
                <w:b/>
                <w:sz w:val="20"/>
              </w:rPr>
              <w:t>e</w:t>
            </w:r>
            <w:r w:rsidR="009F4CCF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705" w:type="dxa"/>
          </w:tcPr>
          <w:p w:rsidR="0038718F" w:rsidRDefault="009F4CCF">
            <w:pPr>
              <w:pStyle w:val="TableParagraph"/>
              <w:spacing w:line="206" w:lineRule="exact"/>
              <w:ind w:right="17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50.000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forfait</w:t>
            </w:r>
            <w:r w:rsidR="008C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4278" w:type="dxa"/>
          </w:tcPr>
          <w:p w:rsidR="0038718F" w:rsidRDefault="009F4CCF">
            <w:pPr>
              <w:pStyle w:val="TableParagraph"/>
              <w:spacing w:line="206" w:lineRule="exact"/>
              <w:ind w:left="2617"/>
              <w:rPr>
                <w:b/>
                <w:sz w:val="20"/>
              </w:rPr>
            </w:pPr>
            <w:r>
              <w:rPr>
                <w:b/>
                <w:sz w:val="20"/>
              </w:rPr>
              <w:t>4500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:rsidR="0038718F" w:rsidRDefault="0038718F">
      <w:pPr>
        <w:rPr>
          <w:sz w:val="20"/>
        </w:rPr>
      </w:pPr>
    </w:p>
    <w:p w:rsidR="0038718F" w:rsidRDefault="0038718F">
      <w:pPr>
        <w:rPr>
          <w:sz w:val="20"/>
        </w:rPr>
      </w:pPr>
    </w:p>
    <w:p w:rsidR="0038718F" w:rsidRDefault="0038718F">
      <w:pPr>
        <w:spacing w:before="140"/>
        <w:rPr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8" w:space="0" w:color="2E528F"/>
          <w:left w:val="single" w:sz="8" w:space="0" w:color="2E528F"/>
          <w:bottom w:val="single" w:sz="8" w:space="0" w:color="2E528F"/>
          <w:right w:val="single" w:sz="8" w:space="0" w:color="2E528F"/>
          <w:insideH w:val="single" w:sz="8" w:space="0" w:color="2E528F"/>
          <w:insideV w:val="single" w:sz="8" w:space="0" w:color="2E528F"/>
        </w:tblBorders>
        <w:tblLayout w:type="fixed"/>
        <w:tblLook w:val="01E0"/>
      </w:tblPr>
      <w:tblGrid>
        <w:gridCol w:w="2441"/>
        <w:gridCol w:w="7665"/>
        <w:gridCol w:w="3964"/>
      </w:tblGrid>
      <w:tr w:rsidR="0038718F" w:rsidTr="008C35CC">
        <w:trPr>
          <w:trHeight w:val="460"/>
        </w:trPr>
        <w:tc>
          <w:tcPr>
            <w:tcW w:w="2441" w:type="dxa"/>
            <w:tcBorders>
              <w:right w:val="single" w:sz="6" w:space="0" w:color="000000"/>
            </w:tcBorders>
            <w:shd w:val="clear" w:color="auto" w:fill="FF0000"/>
          </w:tcPr>
          <w:p w:rsidR="0038718F" w:rsidRDefault="003871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6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8718F" w:rsidRDefault="009F4CCF" w:rsidP="008C35CC">
            <w:pPr>
              <w:pStyle w:val="TableParagraph"/>
              <w:spacing w:before="104" w:line="240" w:lineRule="auto"/>
              <w:ind w:left="402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HONORAIRES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TRANSACTION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LOCATIVE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TTC</w:t>
            </w:r>
            <w:r w:rsidR="008C35CC">
              <w:rPr>
                <w:rFonts w:ascii="Calibri" w:hAnsi="Calibri"/>
                <w:b/>
                <w:sz w:val="24"/>
              </w:rPr>
              <w:t xml:space="preserve"> </w:t>
            </w:r>
            <w:r w:rsidRPr="008C35CC">
              <w:rPr>
                <w:rFonts w:ascii="Calibri" w:hAnsi="Calibri"/>
                <w:sz w:val="20"/>
                <w:szCs w:val="20"/>
              </w:rPr>
              <w:t>(</w:t>
            </w:r>
            <w:r w:rsidR="008C35CC" w:rsidRPr="008C35C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35CC">
              <w:rPr>
                <w:rFonts w:ascii="Calibri" w:hAnsi="Calibri"/>
                <w:sz w:val="20"/>
                <w:szCs w:val="20"/>
              </w:rPr>
              <w:t>depuis</w:t>
            </w:r>
            <w:r w:rsidR="008C35CC" w:rsidRPr="008C35C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35CC">
              <w:rPr>
                <w:rFonts w:ascii="Calibri" w:hAnsi="Calibri"/>
                <w:sz w:val="20"/>
                <w:szCs w:val="20"/>
              </w:rPr>
              <w:t>le</w:t>
            </w:r>
            <w:r w:rsidR="008C35CC" w:rsidRPr="008C35CC">
              <w:rPr>
                <w:rFonts w:ascii="Calibri" w:hAnsi="Calibri"/>
                <w:sz w:val="20"/>
                <w:szCs w:val="20"/>
              </w:rPr>
              <w:t xml:space="preserve"> 20 septembre 2024)</w:t>
            </w:r>
          </w:p>
        </w:tc>
        <w:tc>
          <w:tcPr>
            <w:tcW w:w="3964" w:type="dxa"/>
            <w:tcBorders>
              <w:left w:val="single" w:sz="6" w:space="0" w:color="000000"/>
            </w:tcBorders>
            <w:shd w:val="clear" w:color="auto" w:fill="FF0000"/>
          </w:tcPr>
          <w:p w:rsidR="0038718F" w:rsidRDefault="003871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38718F" w:rsidRDefault="0038718F">
      <w:pPr>
        <w:rPr>
          <w:sz w:val="20"/>
        </w:rPr>
      </w:pPr>
    </w:p>
    <w:p w:rsidR="0038718F" w:rsidRDefault="0038718F">
      <w:pPr>
        <w:spacing w:before="69"/>
        <w:rPr>
          <w:sz w:val="20"/>
        </w:rPr>
      </w:pPr>
    </w:p>
    <w:p w:rsidR="0038718F" w:rsidRDefault="009F4CCF">
      <w:pPr>
        <w:pStyle w:val="Corpsdetexte"/>
        <w:ind w:left="4547" w:right="4395" w:firstLine="110"/>
      </w:pPr>
      <w:r>
        <w:t>Plafond du montant des honoraires</w:t>
      </w:r>
      <w:r w:rsidR="008C35CC">
        <w:t xml:space="preserve"> </w:t>
      </w:r>
      <w:r>
        <w:t>-</w:t>
      </w:r>
      <w:r w:rsidR="008C35CC">
        <w:t xml:space="preserve"> </w:t>
      </w:r>
      <w:r>
        <w:t>ROYAN / ZONE « DETENDUE » B2 Locaux</w:t>
      </w:r>
      <w:r w:rsidR="008C35CC">
        <w:t xml:space="preserve"> </w:t>
      </w:r>
      <w:r>
        <w:t>d’habitation</w:t>
      </w:r>
      <w:r w:rsidR="008C35CC">
        <w:t xml:space="preserve"> </w:t>
      </w:r>
      <w:r>
        <w:t>soumis</w:t>
      </w:r>
      <w:r w:rsidR="008C35CC">
        <w:t xml:space="preserve">  </w:t>
      </w:r>
      <w:r>
        <w:t>à</w:t>
      </w:r>
      <w:r w:rsidR="008C35CC">
        <w:t xml:space="preserve"> </w:t>
      </w:r>
      <w:r>
        <w:t>laloi</w:t>
      </w:r>
      <w:r w:rsidR="008C35CC">
        <w:t xml:space="preserve"> </w:t>
      </w:r>
      <w:r>
        <w:t>du</w:t>
      </w:r>
      <w:r w:rsidR="008C35CC">
        <w:t xml:space="preserve"> </w:t>
      </w:r>
      <w:r>
        <w:t>6juillet</w:t>
      </w:r>
      <w:r w:rsidR="008C35CC">
        <w:t xml:space="preserve"> </w:t>
      </w:r>
      <w:r>
        <w:t>1989 et</w:t>
      </w:r>
      <w:r w:rsidR="008C35CC">
        <w:t xml:space="preserve"> </w:t>
      </w:r>
      <w:r>
        <w:t>locaux</w:t>
      </w:r>
      <w:r w:rsidR="008C35CC">
        <w:t xml:space="preserve"> </w:t>
      </w:r>
      <w:r>
        <w:t>droit</w:t>
      </w:r>
      <w:r w:rsidR="008C35CC">
        <w:t xml:space="preserve"> </w:t>
      </w:r>
      <w:r>
        <w:t>commun</w:t>
      </w:r>
    </w:p>
    <w:p w:rsidR="0038718F" w:rsidRDefault="0038718F">
      <w:pPr>
        <w:rPr>
          <w:sz w:val="20"/>
        </w:rPr>
      </w:pPr>
    </w:p>
    <w:p w:rsidR="0038718F" w:rsidRDefault="0038718F">
      <w:pPr>
        <w:rPr>
          <w:sz w:val="20"/>
        </w:rPr>
      </w:pPr>
    </w:p>
    <w:p w:rsidR="0038718F" w:rsidRDefault="009F4CCF">
      <w:pPr>
        <w:tabs>
          <w:tab w:val="left" w:pos="7960"/>
        </w:tabs>
        <w:ind w:left="160"/>
        <w:rPr>
          <w:b/>
          <w:sz w:val="20"/>
        </w:rPr>
      </w:pPr>
      <w:r>
        <w:rPr>
          <w:b/>
          <w:sz w:val="20"/>
          <w:u w:val="single"/>
        </w:rPr>
        <w:t>Honoraires</w:t>
      </w:r>
      <w:r w:rsidR="008C35CC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TTC</w:t>
      </w:r>
      <w:r w:rsidR="008C35CC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BAILLEUR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  <w:u w:val="single"/>
        </w:rPr>
        <w:t>HonorairesTTCLOCATAIRES</w:t>
      </w:r>
      <w:r>
        <w:rPr>
          <w:b/>
          <w:spacing w:val="-10"/>
          <w:sz w:val="20"/>
        </w:rPr>
        <w:t>:</w:t>
      </w:r>
    </w:p>
    <w:p w:rsidR="0038718F" w:rsidRDefault="0038718F">
      <w:pPr>
        <w:spacing w:before="1"/>
        <w:rPr>
          <w:b/>
          <w:sz w:val="20"/>
        </w:rPr>
      </w:pPr>
    </w:p>
    <w:p w:rsidR="0038718F" w:rsidRDefault="009F4CCF">
      <w:pPr>
        <w:tabs>
          <w:tab w:val="left" w:pos="4605"/>
        </w:tabs>
        <w:ind w:left="160"/>
        <w:rPr>
          <w:b/>
          <w:sz w:val="20"/>
        </w:rPr>
      </w:pPr>
      <w:r>
        <w:rPr>
          <w:b/>
          <w:sz w:val="20"/>
        </w:rPr>
        <w:t>Entremise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>t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négociation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  <w:t>50</w:t>
      </w:r>
      <w:r>
        <w:rPr>
          <w:b/>
          <w:spacing w:val="-10"/>
          <w:sz w:val="20"/>
        </w:rPr>
        <w:t>€</w:t>
      </w:r>
    </w:p>
    <w:p w:rsidR="0038718F" w:rsidRDefault="009F4CCF">
      <w:pPr>
        <w:tabs>
          <w:tab w:val="left" w:pos="7982"/>
        </w:tabs>
        <w:ind w:left="160"/>
        <w:rPr>
          <w:b/>
          <w:sz w:val="20"/>
        </w:rPr>
      </w:pPr>
      <w:r>
        <w:rPr>
          <w:b/>
          <w:sz w:val="20"/>
        </w:rPr>
        <w:t>Visite,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constitution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z w:val="20"/>
        </w:rPr>
        <w:t>ossier,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rédaction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bail:</w:t>
      </w:r>
      <w:r w:rsidR="008C35CC">
        <w:rPr>
          <w:b/>
          <w:sz w:val="20"/>
        </w:rPr>
        <w:t xml:space="preserve">    </w:t>
      </w:r>
      <w:r>
        <w:rPr>
          <w:b/>
          <w:spacing w:val="-2"/>
          <w:sz w:val="20"/>
        </w:rPr>
        <w:t>8€/m2</w:t>
      </w:r>
      <w:r>
        <w:rPr>
          <w:b/>
          <w:sz w:val="20"/>
        </w:rPr>
        <w:tab/>
        <w:t>Visite,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constitution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z w:val="20"/>
        </w:rPr>
        <w:t>,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rédaction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bail:</w:t>
      </w:r>
      <w:r w:rsidR="008C35CC">
        <w:rPr>
          <w:b/>
          <w:sz w:val="20"/>
        </w:rPr>
        <w:t xml:space="preserve">    </w:t>
      </w:r>
      <w:r>
        <w:rPr>
          <w:b/>
          <w:spacing w:val="-2"/>
          <w:sz w:val="20"/>
        </w:rPr>
        <w:t>8€/m2</w:t>
      </w:r>
    </w:p>
    <w:p w:rsidR="0038718F" w:rsidRDefault="009F4CCF">
      <w:pPr>
        <w:tabs>
          <w:tab w:val="left" w:pos="4403"/>
          <w:tab w:val="left" w:pos="7972"/>
          <w:tab w:val="left" w:pos="12221"/>
        </w:tabs>
        <w:spacing w:before="1"/>
        <w:ind w:left="160"/>
        <w:rPr>
          <w:b/>
          <w:sz w:val="20"/>
        </w:rPr>
      </w:pPr>
      <w:r>
        <w:rPr>
          <w:b/>
          <w:sz w:val="20"/>
        </w:rPr>
        <w:t>Etat</w:t>
      </w:r>
      <w:r w:rsidR="008C35CC">
        <w:rPr>
          <w:b/>
          <w:sz w:val="20"/>
        </w:rPr>
        <w:t xml:space="preserve"> d</w:t>
      </w:r>
      <w:r>
        <w:rPr>
          <w:b/>
          <w:sz w:val="20"/>
        </w:rPr>
        <w:t>es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lieux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pacing w:val="-4"/>
          <w:sz w:val="20"/>
        </w:rPr>
        <w:t>3€/m2</w:t>
      </w:r>
      <w:r>
        <w:rPr>
          <w:b/>
          <w:sz w:val="20"/>
        </w:rPr>
        <w:tab/>
        <w:t>Etat</w:t>
      </w:r>
      <w:r w:rsidR="008C35CC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8C35CC">
        <w:rPr>
          <w:b/>
          <w:sz w:val="20"/>
        </w:rPr>
        <w:t xml:space="preserve">s </w:t>
      </w:r>
      <w:r>
        <w:rPr>
          <w:b/>
          <w:sz w:val="20"/>
        </w:rPr>
        <w:t>lieux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3€/m2</w:t>
      </w:r>
    </w:p>
    <w:sectPr w:rsidR="0038718F" w:rsidSect="0038718F">
      <w:footerReference w:type="default" r:id="rId7"/>
      <w:type w:val="continuous"/>
      <w:pgSz w:w="16840" w:h="11910" w:orient="landscape"/>
      <w:pgMar w:top="260" w:right="200" w:bottom="1140" w:left="560" w:header="0" w:footer="95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CF" w:rsidRDefault="009F4CCF" w:rsidP="0038718F">
      <w:r>
        <w:separator/>
      </w:r>
    </w:p>
  </w:endnote>
  <w:endnote w:type="continuationSeparator" w:id="1">
    <w:p w:rsidR="009F4CCF" w:rsidRDefault="009F4CCF" w:rsidP="0038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F" w:rsidRDefault="0038718F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0.7pt;margin-top:536.55pt;width:741.9pt;height:13.15pt;z-index:-251658752;mso-position-horizontal-relative:page;mso-position-vertical-relative:page" filled="f" stroked="f">
          <v:textbox inset="0,0,0,0">
            <w:txbxContent>
              <w:p w:rsidR="0038718F" w:rsidRDefault="009F4CCF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SARL</w:t>
                </w:r>
                <w:r w:rsidR="000F6D52">
                  <w:rPr>
                    <w:sz w:val="12"/>
                  </w:rPr>
                  <w:t xml:space="preserve"> SUNLIGHT Royan au capital  </w:t>
                </w:r>
                <w:r>
                  <w:rPr>
                    <w:sz w:val="12"/>
                  </w:rPr>
                  <w:t>de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5000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€ -</w:t>
                </w:r>
                <w:r w:rsidR="000F6D52">
                  <w:rPr>
                    <w:sz w:val="12"/>
                  </w:rPr>
                  <w:t xml:space="preserve"> RCS n°935 399 030 </w:t>
                </w:r>
                <w:r>
                  <w:rPr>
                    <w:sz w:val="12"/>
                  </w:rPr>
                  <w:t>Saintes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–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Cart</w:t>
                </w:r>
                <w:r>
                  <w:rPr>
                    <w:sz w:val="12"/>
                  </w:rPr>
                  <w:t>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professionnelle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Transaction</w:t>
                </w:r>
                <w:r w:rsidR="000F6D52">
                  <w:rPr>
                    <w:sz w:val="12"/>
                  </w:rPr>
                  <w:t xml:space="preserve"> CPI 1701 2024 000 000 019 </w:t>
                </w:r>
                <w:r>
                  <w:rPr>
                    <w:sz w:val="12"/>
                  </w:rPr>
                  <w:t>délivrée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pa</w:t>
                </w:r>
                <w:r>
                  <w:rPr>
                    <w:sz w:val="12"/>
                  </w:rPr>
                  <w:t>r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la</w:t>
                </w:r>
                <w:r w:rsidR="000F6D52">
                  <w:rPr>
                    <w:sz w:val="12"/>
                  </w:rPr>
                  <w:t xml:space="preserve"> CCI </w:t>
                </w:r>
                <w:r>
                  <w:rPr>
                    <w:sz w:val="12"/>
                  </w:rPr>
                  <w:t>Charente-Maritime</w:t>
                </w:r>
                <w:r w:rsidR="000F6D52">
                  <w:rPr>
                    <w:sz w:val="12"/>
                  </w:rPr>
                  <w:t xml:space="preserve"> - </w:t>
                </w:r>
                <w:r>
                  <w:rPr>
                    <w:sz w:val="12"/>
                  </w:rPr>
                  <w:t>Caisse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Garantie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Allianz</w:t>
                </w:r>
                <w:r>
                  <w:rPr>
                    <w:sz w:val="12"/>
                  </w:rPr>
                  <w:t>,</w:t>
                </w:r>
                <w:r w:rsidR="000F6D52">
                  <w:rPr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montant,110 000€,</w:t>
                </w:r>
                <w:r w:rsidR="000F6D52">
                  <w:rPr>
                    <w:sz w:val="12"/>
                  </w:rPr>
                  <w:t xml:space="preserve"> 1 cours Michelet </w:t>
                </w:r>
                <w:r>
                  <w:rPr>
                    <w:sz w:val="12"/>
                  </w:rPr>
                  <w:t>7</w:t>
                </w:r>
                <w:r w:rsidR="000F6D52">
                  <w:rPr>
                    <w:sz w:val="12"/>
                  </w:rPr>
                  <w:t xml:space="preserve">92076 </w:t>
                </w:r>
                <w:r>
                  <w:rPr>
                    <w:spacing w:val="-2"/>
                    <w:sz w:val="12"/>
                  </w:rPr>
                  <w:t>PARIS</w:t>
                </w:r>
                <w:r w:rsidR="000F6D52">
                  <w:rPr>
                    <w:spacing w:val="-2"/>
                    <w:sz w:val="12"/>
                  </w:rPr>
                  <w:t xml:space="preserve"> La Défense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CF" w:rsidRDefault="009F4CCF" w:rsidP="0038718F">
      <w:r>
        <w:separator/>
      </w:r>
    </w:p>
  </w:footnote>
  <w:footnote w:type="continuationSeparator" w:id="1">
    <w:p w:rsidR="009F4CCF" w:rsidRDefault="009F4CCF" w:rsidP="0038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718F"/>
    <w:rsid w:val="000F6D52"/>
    <w:rsid w:val="0038718F"/>
    <w:rsid w:val="008C35CC"/>
    <w:rsid w:val="00956B0D"/>
    <w:rsid w:val="00961613"/>
    <w:rsid w:val="009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718F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8718F"/>
    <w:rPr>
      <w:sz w:val="20"/>
      <w:szCs w:val="20"/>
    </w:rPr>
  </w:style>
  <w:style w:type="paragraph" w:styleId="Titre">
    <w:name w:val="Title"/>
    <w:basedOn w:val="Normal"/>
    <w:uiPriority w:val="1"/>
    <w:qFormat/>
    <w:rsid w:val="0038718F"/>
    <w:pPr>
      <w:ind w:left="16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38718F"/>
  </w:style>
  <w:style w:type="paragraph" w:customStyle="1" w:styleId="TableParagraph">
    <w:name w:val="Table Paragraph"/>
    <w:basedOn w:val="Normal"/>
    <w:uiPriority w:val="1"/>
    <w:qFormat/>
    <w:rsid w:val="0038718F"/>
    <w:pPr>
      <w:spacing w:line="210" w:lineRule="exact"/>
    </w:pPr>
  </w:style>
  <w:style w:type="paragraph" w:styleId="En-tte">
    <w:name w:val="header"/>
    <w:basedOn w:val="Normal"/>
    <w:link w:val="En-tteCar"/>
    <w:uiPriority w:val="99"/>
    <w:semiHidden/>
    <w:unhideWhenUsed/>
    <w:rsid w:val="008C35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35C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C35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35CC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fontaine</dc:creator>
  <cp:lastModifiedBy>Alcyade</cp:lastModifiedBy>
  <cp:revision>2</cp:revision>
  <cp:lastPrinted>2024-12-28T10:06:00Z</cp:lastPrinted>
  <dcterms:created xsi:type="dcterms:W3CDTF">2024-12-28T10:09:00Z</dcterms:created>
  <dcterms:modified xsi:type="dcterms:W3CDTF">2024-12-28T10:09:00Z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pour Microsoft 365</vt:lpwstr>
  </property>
</Properties>
</file>