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right="302.5984251968515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547.7952755905511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HONORAIRES SERVICES TRANSACTION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(Vente Appartement, Terrain, Pas de Porte, Fonds de Commerce, droit au bail…)</w:t>
      </w:r>
    </w:p>
    <w:p w:rsidR="00000000" w:rsidDel="00000000" w:rsidP="00000000" w:rsidRDefault="00000000" w:rsidRPr="00000000" w14:paraId="00000004">
      <w:pPr>
        <w:ind w:left="-284" w:firstLine="0"/>
        <w:jc w:val="right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0"/>
        <w:gridCol w:w="4950"/>
        <w:tblGridChange w:id="0">
          <w:tblGrid>
            <w:gridCol w:w="4620"/>
            <w:gridCol w:w="49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ff000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ffffff"/>
                <w:sz w:val="36.66666666666667"/>
                <w:szCs w:val="36.66666666666667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6.66666666666667"/>
                <w:szCs w:val="36.66666666666667"/>
                <w:vertAlign w:val="superscript"/>
                <w:rtl w:val="0"/>
              </w:rPr>
              <w:t xml:space="preserve">PRIX DE VENTE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ffffff"/>
                <w:sz w:val="46.66666666666667"/>
                <w:szCs w:val="46.66666666666667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46.66666666666667"/>
                <w:szCs w:val="46.66666666666667"/>
                <w:vertAlign w:val="superscript"/>
                <w:rtl w:val="0"/>
              </w:rPr>
              <w:t xml:space="preserve">Honoraires TTC</w:t>
            </w:r>
          </w:p>
        </w:tc>
      </w:tr>
      <w:tr>
        <w:trPr>
          <w:cantSplit w:val="0"/>
          <w:trHeight w:val="486.64062500000006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  <w:rtl w:val="0"/>
              </w:rPr>
              <w:t xml:space="preserve">De 0 € à 56 000 €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  <w:rtl w:val="0"/>
              </w:rPr>
              <w:t xml:space="preserve">Forfait 5000 € TTC</w:t>
            </w:r>
          </w:p>
        </w:tc>
      </w:tr>
      <w:tr>
        <w:trPr>
          <w:cantSplit w:val="0"/>
          <w:trHeight w:val="426.6406250000000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  <w:rtl w:val="0"/>
              </w:rPr>
              <w:t xml:space="preserve">De 56000 € à 120000 €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  <w:rtl w:val="0"/>
              </w:rPr>
              <w:t xml:space="preserve">9 % TTC</w:t>
            </w:r>
          </w:p>
        </w:tc>
      </w:tr>
      <w:tr>
        <w:trPr>
          <w:cantSplit w:val="0"/>
          <w:trHeight w:val="426.6406250000000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  <w:rtl w:val="0"/>
              </w:rPr>
              <w:t xml:space="preserve">De 120001 à 170000 €TTC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  <w:rtl w:val="0"/>
              </w:rPr>
              <w:t xml:space="preserve">8 % TTC</w:t>
            </w:r>
          </w:p>
        </w:tc>
      </w:tr>
      <w:tr>
        <w:trPr>
          <w:cantSplit w:val="0"/>
          <w:trHeight w:val="426.6406250000000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  <w:rtl w:val="0"/>
              </w:rPr>
              <w:t xml:space="preserve">De 170001 € à 250000 €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  <w:rtl w:val="0"/>
              </w:rPr>
              <w:t xml:space="preserve">7% TTC</w:t>
            </w:r>
          </w:p>
        </w:tc>
      </w:tr>
      <w:tr>
        <w:trPr>
          <w:cantSplit w:val="0"/>
          <w:trHeight w:val="426.6406250000000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  <w:rtl w:val="0"/>
              </w:rPr>
              <w:t xml:space="preserve">De 250001 à 990000 €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  <w:rtl w:val="0"/>
              </w:rPr>
              <w:t xml:space="preserve">6,5 % TTC</w:t>
            </w:r>
          </w:p>
        </w:tc>
      </w:tr>
      <w:tr>
        <w:trPr>
          <w:cantSplit w:val="0"/>
          <w:trHeight w:val="516.640625000000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  <w:rtl w:val="0"/>
              </w:rPr>
              <w:t xml:space="preserve">Supérieur à 990001 €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5f6062"/>
                <w:sz w:val="26.666666666666668"/>
                <w:szCs w:val="26.666666666666668"/>
                <w:vertAlign w:val="superscript"/>
                <w:rtl w:val="0"/>
              </w:rPr>
              <w:t xml:space="preserve">6 % TTC</w:t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Arrêté du 29 juin 1990 paru au JO du 3 août 1990 : Grille de rémunération en % du prix de vente affiché avec TVA comprise (20 %) applicable à toutes transaction immobilières. Les honoraires sont à la charge du vendeur.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HONORAIRES SERVICES GESTION - 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890"/>
        </w:tabs>
        <w:ind w:left="-2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45"/>
        <w:gridCol w:w="4755"/>
        <w:tblGridChange w:id="0">
          <w:tblGrid>
            <w:gridCol w:w="4845"/>
            <w:gridCol w:w="4755"/>
          </w:tblGrid>
        </w:tblGridChange>
      </w:tblGrid>
      <w:tr>
        <w:trPr>
          <w:cantSplit w:val="0"/>
          <w:trHeight w:val="483" w:hRule="atLeast"/>
          <w:tblHeader w:val="0"/>
        </w:trPr>
        <w:tc>
          <w:tcPr>
            <w:shd w:fill="ff0000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color w:val="ffffff"/>
                <w:sz w:val="36.66666666666667"/>
                <w:szCs w:val="36.66666666666667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6.66666666666667"/>
                <w:szCs w:val="36.66666666666667"/>
                <w:vertAlign w:val="superscript"/>
                <w:rtl w:val="0"/>
              </w:rPr>
              <w:t xml:space="preserve">GESTION - LOCATION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color w:val="ffffff"/>
                <w:sz w:val="36.66666666666667"/>
                <w:szCs w:val="36.66666666666667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6.66666666666667"/>
                <w:szCs w:val="36.66666666666667"/>
                <w:vertAlign w:val="superscript"/>
                <w:rtl w:val="0"/>
              </w:rPr>
              <w:t xml:space="preserve">HONORAIRES</w:t>
            </w:r>
          </w:p>
        </w:tc>
      </w:tr>
      <w:tr>
        <w:trPr>
          <w:cantSplit w:val="0"/>
          <w:trHeight w:val="3562.871093749999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color w:val="5f6062"/>
                <w:sz w:val="36.66666666666667"/>
                <w:szCs w:val="36.66666666666667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f6062"/>
                <w:sz w:val="36.66666666666667"/>
                <w:szCs w:val="36.66666666666667"/>
                <w:vertAlign w:val="superscript"/>
                <w:rtl w:val="0"/>
              </w:rPr>
              <w:t xml:space="preserve">Location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color w:val="5f6062"/>
                <w:sz w:val="36.66666666666667"/>
                <w:szCs w:val="36.66666666666667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color w:val="5f6062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5f6062"/>
                <w:sz w:val="33.333333333333336"/>
                <w:szCs w:val="33.333333333333336"/>
                <w:vertAlign w:val="superscript"/>
                <w:rtl w:val="0"/>
              </w:rPr>
              <w:t xml:space="preserve">Bail Habitation – Meublé 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color w:val="5f6062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5f6062"/>
                <w:sz w:val="33.333333333333336"/>
                <w:szCs w:val="33.333333333333336"/>
                <w:vertAlign w:val="superscript"/>
                <w:rtl w:val="0"/>
              </w:rPr>
              <w:t xml:space="preserve">Locations de la loi du 6 juillet 1989 modifiée par la loi ALUR du 24 mars 2014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color w:val="5f6062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5f6062"/>
                <w:sz w:val="33.333333333333336"/>
                <w:szCs w:val="33.333333333333336"/>
                <w:vertAlign w:val="superscript"/>
                <w:rtl w:val="0"/>
              </w:rPr>
              <w:t xml:space="preserve">Plafond révisable chaque année au 1</w:t>
            </w:r>
            <w:r w:rsidDel="00000000" w:rsidR="00000000" w:rsidRPr="00000000">
              <w:rPr>
                <w:rFonts w:ascii="Arial" w:cs="Arial" w:eastAsia="Arial" w:hAnsi="Arial"/>
                <w:color w:val="5f6062"/>
                <w:sz w:val="20"/>
                <w:szCs w:val="20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rFonts w:ascii="Arial" w:cs="Arial" w:eastAsia="Arial" w:hAnsi="Arial"/>
                <w:color w:val="5f6062"/>
                <w:sz w:val="33.333333333333336"/>
                <w:szCs w:val="33.333333333333336"/>
                <w:vertAlign w:val="superscript"/>
                <w:rtl w:val="0"/>
              </w:rPr>
              <w:t xml:space="preserve"> janvier par arrête ministériel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color w:val="5f6062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5f6062"/>
                <w:sz w:val="33.333333333333336"/>
                <w:szCs w:val="33.333333333333336"/>
                <w:vertAlign w:val="superscript"/>
                <w:rtl w:val="0"/>
              </w:rPr>
              <w:t xml:space="preserve">Honoraires : visite du preneur, constitution du dossier, et rédaction du bail</w:t>
            </w:r>
          </w:p>
          <w:p w:rsidR="00000000" w:rsidDel="00000000" w:rsidP="00000000" w:rsidRDefault="00000000" w:rsidRPr="00000000" w14:paraId="00000020">
            <w:pPr>
              <w:jc w:val="left"/>
              <w:rPr>
                <w:rFonts w:ascii="Arial" w:cs="Arial" w:eastAsia="Arial" w:hAnsi="Arial"/>
                <w:color w:val="ff0000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3.333333333333336"/>
                <w:szCs w:val="33.333333333333336"/>
                <w:vertAlign w:val="superscript"/>
                <w:rtl w:val="0"/>
              </w:rPr>
              <w:t xml:space="preserve">                   Zone très tendue : 22 € / m²      </w:t>
            </w:r>
          </w:p>
          <w:p w:rsidR="00000000" w:rsidDel="00000000" w:rsidP="00000000" w:rsidRDefault="00000000" w:rsidRPr="00000000" w14:paraId="00000021">
            <w:pPr>
              <w:jc w:val="left"/>
              <w:rPr>
                <w:rFonts w:ascii="Arial" w:cs="Arial" w:eastAsia="Arial" w:hAnsi="Arial"/>
                <w:color w:val="ff0000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3.333333333333336"/>
                <w:szCs w:val="33.333333333333336"/>
                <w:vertAlign w:val="superscript"/>
                <w:rtl w:val="0"/>
              </w:rPr>
              <w:t xml:space="preserve">                   Zone tendue : 20 € / m²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color w:val="ff0000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3.333333333333336"/>
                <w:szCs w:val="33.333333333333336"/>
                <w:vertAlign w:val="superscript"/>
                <w:rtl w:val="0"/>
              </w:rPr>
              <w:t xml:space="preserve">Zone non tendue : 18 € / m²</w:t>
            </w:r>
          </w:p>
          <w:p w:rsidR="00000000" w:rsidDel="00000000" w:rsidP="00000000" w:rsidRDefault="00000000" w:rsidRPr="00000000" w14:paraId="00000023">
            <w:pPr>
              <w:jc w:val="left"/>
              <w:rPr>
                <w:color w:val="5f6062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5f6062"/>
                <w:sz w:val="33.333333333333336"/>
                <w:szCs w:val="33.333333333333336"/>
                <w:vertAlign w:val="superscript"/>
                <w:rtl w:val="0"/>
              </w:rPr>
              <w:t xml:space="preserve">                  Etat des Lieux 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33.333333333333336"/>
                <w:szCs w:val="33.333333333333336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color w:val="ff0000"/>
                <w:sz w:val="33.333333333333336"/>
                <w:szCs w:val="33.333333333333336"/>
                <w:vertAlign w:val="superscript"/>
                <w:rtl w:val="0"/>
              </w:rPr>
              <w:t xml:space="preserve"> € /m²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color w:val="5f6062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color w:val="5f6062"/>
                <w:sz w:val="33.333333333333336"/>
                <w:szCs w:val="33.333333333333336"/>
                <w:vertAlign w:val="superscript"/>
                <w:rtl w:val="0"/>
              </w:rPr>
              <w:t xml:space="preserve">(à partager par moitié entre bailleur et locataire)</w:t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color w:val="5f6062"/>
                <w:sz w:val="33.333333333333336"/>
                <w:szCs w:val="33.333333333333336"/>
                <w:vertAlign w:val="superscript"/>
                <w:rtl w:val="0"/>
              </w:rPr>
              <w:t xml:space="preserve">+ 200 € TTC : Frais d’entremise  (charge bailleur)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6.4648437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color w:val="5f6062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color w:val="5f6062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color w:val="5f6062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color w:val="5f6062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b w:val="1"/>
                <w:color w:val="5f6062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f6062"/>
                <w:sz w:val="33.333333333333336"/>
                <w:szCs w:val="33.333333333333336"/>
                <w:vertAlign w:val="superscript"/>
                <w:rtl w:val="0"/>
              </w:rPr>
              <w:t xml:space="preserve">GESTION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color w:val="5f6062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color w:val="5f6062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color w:val="5f6062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33.333333333333336"/>
                <w:szCs w:val="33.333333333333336"/>
                <w:vertAlign w:val="superscript"/>
                <w:rtl w:val="0"/>
              </w:rPr>
              <w:t xml:space="preserve">1 à 3 lots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33.333333333333336"/>
                <w:szCs w:val="33.333333333333336"/>
                <w:vertAlign w:val="superscript"/>
                <w:rtl w:val="0"/>
              </w:rPr>
              <w:t xml:space="preserve"> : 8,4 % TTC</w:t>
            </w:r>
            <w:r w:rsidDel="00000000" w:rsidR="00000000" w:rsidRPr="00000000">
              <w:rPr>
                <w:rFonts w:ascii="Arial" w:cs="Arial" w:eastAsia="Arial" w:hAnsi="Arial"/>
                <w:color w:val="5f6062"/>
                <w:sz w:val="33.333333333333336"/>
                <w:szCs w:val="33.333333333333336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5f6062"/>
                <w:sz w:val="33.333333333333336"/>
                <w:szCs w:val="33.333333333333336"/>
                <w:vertAlign w:val="superscript"/>
                <w:rtl w:val="0"/>
              </w:rPr>
              <w:t xml:space="preserve">des encaissements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color w:val="5f6062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f6062"/>
                <w:sz w:val="33.333333333333336"/>
                <w:szCs w:val="33.333333333333336"/>
                <w:vertAlign w:val="superscript"/>
                <w:rtl w:val="0"/>
              </w:rPr>
              <w:t xml:space="preserve">4 à 5 lots 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3.333333333333336"/>
                <w:szCs w:val="33.333333333333336"/>
                <w:vertAlign w:val="superscript"/>
                <w:rtl w:val="0"/>
              </w:rPr>
              <w:t xml:space="preserve">7,2 % TTC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5f6062"/>
                <w:sz w:val="33.333333333333336"/>
                <w:szCs w:val="33.333333333333336"/>
                <w:vertAlign w:val="superscript"/>
                <w:rtl w:val="0"/>
              </w:rPr>
              <w:t xml:space="preserve"> des encaissement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color w:val="5f6062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f6062"/>
                <w:sz w:val="33.333333333333336"/>
                <w:szCs w:val="33.333333333333336"/>
                <w:vertAlign w:val="superscript"/>
                <w:rtl w:val="0"/>
              </w:rPr>
              <w:t xml:space="preserve">à partir de 6 lots : 6 % TTC des encaissement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color w:val="5f6062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color w:val="5f6062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5f6062"/>
                <w:sz w:val="33.333333333333336"/>
                <w:szCs w:val="33.333333333333336"/>
                <w:vertAlign w:val="superscript"/>
                <w:rtl w:val="0"/>
              </w:rPr>
              <w:t xml:space="preserve">Assurance Loyer Impayés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color w:val="5f6062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3.333333333333336"/>
                <w:szCs w:val="33.333333333333336"/>
                <w:vertAlign w:val="superscript"/>
                <w:rtl w:val="0"/>
              </w:rPr>
              <w:t xml:space="preserve">3 % TTC</w:t>
            </w:r>
            <w:r w:rsidDel="00000000" w:rsidR="00000000" w:rsidRPr="00000000">
              <w:rPr>
                <w:rFonts w:ascii="Arial" w:cs="Arial" w:eastAsia="Arial" w:hAnsi="Arial"/>
                <w:color w:val="5f6062"/>
                <w:sz w:val="33.333333333333336"/>
                <w:szCs w:val="33.333333333333336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5f6062"/>
                <w:sz w:val="33.333333333333336"/>
                <w:szCs w:val="33.333333333333336"/>
                <w:vertAlign w:val="superscript"/>
                <w:rtl w:val="0"/>
              </w:rPr>
              <w:t xml:space="preserve">des encaissements</w:t>
            </w:r>
            <w:r w:rsidDel="00000000" w:rsidR="00000000" w:rsidRPr="00000000">
              <w:rPr>
                <w:rFonts w:ascii="Arial" w:cs="Arial" w:eastAsia="Arial" w:hAnsi="Arial"/>
                <w:color w:val="5f6062"/>
                <w:sz w:val="33.333333333333336"/>
                <w:szCs w:val="33.333333333333336"/>
                <w:vertAlign w:val="superscript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1890"/>
        </w:tabs>
        <w:ind w:left="-2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284" w:firstLine="0"/>
        <w:jc w:val="right"/>
        <w:rPr>
          <w:rFonts w:ascii="Arial" w:cs="Arial" w:eastAsia="Arial" w:hAnsi="Arial"/>
          <w:color w:val="5f6062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0" w:top="70" w:left="1417" w:right="1417" w:header="708" w:footer="3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Arial"/>
  <w:font w:name="Orp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f6062"/>
        <w:sz w:val="20"/>
        <w:szCs w:val="20"/>
        <w:u w:val="none"/>
        <w:shd w:fill="auto" w:val="clear"/>
        <w:vertAlign w:val="superscript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f6062"/>
        <w:sz w:val="20"/>
        <w:szCs w:val="20"/>
        <w:u w:val="none"/>
        <w:shd w:fill="auto" w:val="clear"/>
        <w:vertAlign w:val="superscript"/>
        <w:rtl w:val="0"/>
      </w:rPr>
      <w:t xml:space="preserve">MDG COTE FLEURIE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f6062"/>
        <w:sz w:val="20"/>
        <w:szCs w:val="20"/>
        <w:u w:val="none"/>
        <w:shd w:fill="auto" w:val="clear"/>
        <w:vertAlign w:val="superscript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f6062"/>
        <w:sz w:val="20"/>
        <w:szCs w:val="20"/>
        <w:u w:val="none"/>
        <w:shd w:fill="auto" w:val="clear"/>
        <w:vertAlign w:val="superscript"/>
        <w:rtl w:val="0"/>
      </w:rPr>
      <w:t xml:space="preserve">SAS au capital de 75.000 euros. RCS de CAEN : SIRET : 982 736 647 00016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f6062"/>
        <w:sz w:val="20"/>
        <w:szCs w:val="20"/>
        <w:u w:val="none"/>
        <w:shd w:fill="auto" w:val="clear"/>
        <w:vertAlign w:val="superscript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f6062"/>
        <w:sz w:val="20"/>
        <w:szCs w:val="20"/>
        <w:u w:val="none"/>
        <w:shd w:fill="auto" w:val="clear"/>
        <w:vertAlign w:val="superscript"/>
        <w:rtl w:val="0"/>
      </w:rPr>
      <w:t xml:space="preserve">55 avenue de Paris, 14 630 CAGNY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f6062"/>
        <w:sz w:val="20"/>
        <w:szCs w:val="20"/>
        <w:u w:val="none"/>
        <w:shd w:fill="auto" w:val="clear"/>
        <w:vertAlign w:val="superscript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f6062"/>
        <w:sz w:val="20"/>
        <w:szCs w:val="20"/>
        <w:u w:val="none"/>
        <w:shd w:fill="auto" w:val="clear"/>
        <w:vertAlign w:val="superscript"/>
        <w:rtl w:val="0"/>
      </w:rPr>
      <w:t xml:space="preserve">Tél. 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superscript"/>
          <w:rtl w:val="0"/>
        </w:rPr>
        <w:t xml:space="preserve">02 31 15 21 72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f6062"/>
        <w:sz w:val="20"/>
        <w:szCs w:val="20"/>
        <w:u w:val="none"/>
        <w:shd w:fill="auto" w:val="clear"/>
        <w:vertAlign w:val="superscript"/>
        <w:rtl w:val="0"/>
      </w:rPr>
      <w:t xml:space="preserve">Mail : cagny@orpi.com 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f6062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f6062"/>
        <w:sz w:val="12"/>
        <w:szCs w:val="12"/>
        <w:u w:val="none"/>
        <w:shd w:fill="auto" w:val="clear"/>
        <w:vertAlign w:val="baseline"/>
        <w:rtl w:val="0"/>
      </w:rPr>
      <w:t xml:space="preserve">Carte transaction et Carte Gestion :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5f6062"/>
        <w:sz w:val="12"/>
        <w:szCs w:val="12"/>
        <w:u w:val="none"/>
        <w:shd w:fill="auto" w:val="clear"/>
        <w:vertAlign w:val="baseline"/>
        <w:rtl w:val="0"/>
      </w:rPr>
      <w:t xml:space="preserve">CPI 1402 2024 000 000 002 T/G délivrée par la CCI Seine Estuaire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>
        <w:rFonts w:ascii="Calibri" w:cs="Calibri" w:eastAsia="Calibri" w:hAnsi="Calibri"/>
        <w:color w:val="5f6062"/>
        <w:sz w:val="12"/>
        <w:szCs w:val="12"/>
      </w:rPr>
    </w:pPr>
    <w:r w:rsidDel="00000000" w:rsidR="00000000" w:rsidRPr="00000000">
      <w:rPr>
        <w:rFonts w:ascii="Calibri" w:cs="Calibri" w:eastAsia="Calibri" w:hAnsi="Calibri"/>
        <w:b w:val="1"/>
        <w:color w:val="5f6062"/>
        <w:sz w:val="12"/>
        <w:szCs w:val="12"/>
        <w:rtl w:val="0"/>
      </w:rPr>
      <w:t xml:space="preserve">Garantie : GALIAN 89, rue la Boétie 75008 PARIS         La délivrance d’une note est obligatoire. </w:t>
    </w:r>
    <w:r w:rsidDel="00000000" w:rsidR="00000000" w:rsidRPr="00000000">
      <w:rPr>
        <w:rFonts w:ascii="Calibri" w:cs="Calibri" w:eastAsia="Calibri" w:hAnsi="Calibri"/>
        <w:color w:val="5f6062"/>
        <w:sz w:val="12"/>
        <w:szCs w:val="12"/>
        <w:rtl w:val="0"/>
      </w:rPr>
      <w:t xml:space="preserve">.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  <w:tab/>
      <w:tab/>
      <w:tab/>
      <w:tab/>
      <w:tab/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BAREME DES HONORAIRES AU 27 Juillet 2024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-238124</wp:posOffset>
          </wp:positionV>
          <wp:extent cx="1151964" cy="668020"/>
          <wp:effectExtent b="0" l="0" r="0" t="0"/>
          <wp:wrapNone/>
          <wp:docPr id="18301159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1964" cy="668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</wp:posOffset>
          </wp:positionH>
          <wp:positionV relativeFrom="paragraph">
            <wp:posOffset>146685</wp:posOffset>
          </wp:positionV>
          <wp:extent cx="1724400" cy="208239"/>
          <wp:effectExtent b="0" l="0" r="0" t="0"/>
          <wp:wrapNone/>
          <wp:docPr id="183011591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48851" l="38496" r="38694" t="49205"/>
                  <a:stretch>
                    <a:fillRect/>
                  </a:stretch>
                </pic:blipFill>
                <pic:spPr>
                  <a:xfrm>
                    <a:off x="0" y="0"/>
                    <a:ext cx="1724400" cy="20823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Orpi" w:cs="Orpi" w:eastAsia="Orpi" w:hAnsi="Orpi"/>
        <w:b w:val="1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73E4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character" w:styleId="Policepardfaut" w:default="1">
    <w:name w:val="Default Paragraph Font"/>
    <w:uiPriority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4B3FDB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En-tteCar" w:customStyle="1">
    <w:name w:val="En-tête Car"/>
    <w:basedOn w:val="Policepardfaut"/>
    <w:link w:val="En-tte"/>
    <w:uiPriority w:val="99"/>
    <w:rsid w:val="004B3FDB"/>
  </w:style>
  <w:style w:type="paragraph" w:styleId="Pieddepage">
    <w:name w:val="footer"/>
    <w:basedOn w:val="Normal"/>
    <w:link w:val="PieddepageCar"/>
    <w:unhideWhenUsed w:val="1"/>
    <w:rsid w:val="004B3FDB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eddepageCar" w:customStyle="1">
    <w:name w:val="Pied de page Car"/>
    <w:basedOn w:val="Policepardfaut"/>
    <w:link w:val="Pieddepage"/>
    <w:uiPriority w:val="99"/>
    <w:rsid w:val="004B3FDB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073E44"/>
    <w:rPr>
      <w:rFonts w:ascii="Tahoma" w:cs="Tahoma" w:hAnsi="Tahoma" w:eastAsiaTheme="minorHAnsi"/>
      <w:sz w:val="16"/>
      <w:szCs w:val="16"/>
      <w:lang w:eastAsia="en-US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073E44"/>
    <w:rPr>
      <w:rFonts w:ascii="Tahoma" w:cs="Tahoma" w:hAnsi="Tahoma"/>
      <w:sz w:val="16"/>
      <w:szCs w:val="16"/>
    </w:rPr>
  </w:style>
  <w:style w:type="table" w:styleId="Grilledutableau">
    <w:name w:val="Table Grid"/>
    <w:basedOn w:val="TableauNormal"/>
    <w:uiPriority w:val="39"/>
    <w:rsid w:val="009816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iPriority w:val="99"/>
    <w:unhideWhenUsed w:val="1"/>
    <w:rsid w:val="00770D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770D8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ogle.com/search?q=orpi+cagny&amp;rlz=1C1ONGR_frFR988FR988&amp;oq=orpi+cagny&amp;gs_lcrp=EgZjaHJvbWUqCggAEAAY4wIYgAQyCggAEAAY4wIYgAQyDQgBEC4YrwEYxwEYgAQyBwgCEAAYgAQyCggDEAAYgAQYogQyCggEEAAYgAQYogQyCggFEAAYgAQYogTSAQgxOTEwajBqN6gCALACAA&amp;sourceid=chrome&amp;ie=UTF-8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z+KMXcerhF6kKmVWvFopAWyjgg==">CgMxLjA4AHIhMUhBdUlTWTR6cmlncGNQalpkRUhXM04zekE2QVBiV21u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2024-07-26T12:22:00Z</dcterms:created>
  <dc:creator>Charlotte Arboux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0x0101007EC1FDE6CF8F8049BB24A532EA79332A</vt:lpwstr>
  </property>
  <property fmtid="{D5CDD505-2E9C-101B-9397-08002B2CF9AE}" pid="3" name="MediaServiceImageTags">
    <vt:lpwstr>MediaServiceImageTags</vt:lpwstr>
  </property>
</Properties>
</file>