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4" w:lineRule="auto"/>
        <w:ind w:left="146" w:firstLine="0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Barème en vigueur le 1 Février  2025 - ORPI IMMTIM LAFOND 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– </w:t>
      </w:r>
      <w:r w:rsidDel="00000000" w:rsidR="00000000" w:rsidRPr="00000000">
        <w:rPr>
          <w:sz w:val="18"/>
          <w:szCs w:val="18"/>
          <w:rtl w:val="0"/>
        </w:rPr>
        <w:t xml:space="preserve">SAS IMMTIM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104775</wp:posOffset>
                </wp:positionH>
                <wp:positionV relativeFrom="paragraph">
                  <wp:posOffset>159285</wp:posOffset>
                </wp:positionV>
                <wp:extent cx="13846028" cy="9158288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6028" cy="9158288"/>
                          <a:chOff x="0" y="0"/>
                          <a:chExt cx="10692000" cy="7559425"/>
                        </a:xfrm>
                      </wpg:grpSpPr>
                      <wpg:grpSp>
                        <wpg:cNvGrpSpPr/>
                        <wpg:grpSpPr>
                          <a:xfrm>
                            <a:off x="0" y="-578"/>
                            <a:ext cx="10692000" cy="7560000"/>
                            <a:chOff x="1581" y="-765"/>
                            <a:chExt cx="19753" cy="1306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81" y="-764"/>
                              <a:ext cx="19750" cy="1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581" y="-765"/>
                              <a:ext cx="19753" cy="13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4007" y="9891"/>
                              <a:ext cx="1798" cy="1857"/>
                            </a:xfrm>
                            <a:custGeom>
                              <a:rect b="b" l="l" r="r" t="t"/>
                              <a:pathLst>
                                <a:path extrusionOk="0" h="1857" w="1798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1798" y="1843"/>
                                  </a:moveTo>
                                  <a:lnTo>
                                    <a:pt x="1749" y="1843"/>
                                  </a:lnTo>
                                  <a:lnTo>
                                    <a:pt x="1749" y="1857"/>
                                  </a:lnTo>
                                  <a:lnTo>
                                    <a:pt x="1798" y="1857"/>
                                  </a:lnTo>
                                  <a:lnTo>
                                    <a:pt x="1798" y="1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104775</wp:posOffset>
                </wp:positionH>
                <wp:positionV relativeFrom="paragraph">
                  <wp:posOffset>159285</wp:posOffset>
                </wp:positionV>
                <wp:extent cx="13846028" cy="9158288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6028" cy="915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726"/>
        </w:tabs>
        <w:ind w:left="210" w:firstLine="0"/>
        <w:jc w:val="center"/>
        <w:rPr>
          <w:sz w:val="20"/>
          <w:szCs w:val="20"/>
        </w:rPr>
        <w:sectPr>
          <w:pgSz w:h="16860" w:w="23820" w:orient="landscape"/>
          <w:pgMar w:bottom="280" w:top="300" w:left="420" w:right="52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6943725" cy="44386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78900" y="3562830"/>
                          <a:ext cx="6934200" cy="4343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3402.0001220703125" w:right="3398.9999389648438" w:firstLine="340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GRILLE D’HONORAIRES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943725" cy="443865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443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198763</wp:posOffset>
                </wp:positionH>
                <wp:positionV relativeFrom="paragraph">
                  <wp:posOffset>19050</wp:posOffset>
                </wp:positionV>
                <wp:extent cx="6804660" cy="456816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48433" y="3562830"/>
                          <a:ext cx="6795135" cy="4343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0" w:right="3316.000061035156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GRILLE D’HONORAIRES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198763</wp:posOffset>
                </wp:positionH>
                <wp:positionV relativeFrom="paragraph">
                  <wp:posOffset>19050</wp:posOffset>
                </wp:positionV>
                <wp:extent cx="6804660" cy="456816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660" cy="4568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spacing w:before="84" w:lineRule="auto"/>
        <w:ind w:right="2291" w:firstLine="2463"/>
        <w:rPr/>
      </w:pPr>
      <w:r w:rsidDel="00000000" w:rsidR="00000000" w:rsidRPr="00000000">
        <w:rPr>
          <w:rtl w:val="0"/>
        </w:rPr>
        <w:t xml:space="preserve">LOCATION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1" w:lineRule="auto"/>
        <w:ind w:firstLine="146"/>
        <w:rPr/>
      </w:pPr>
      <w:r w:rsidDel="00000000" w:rsidR="00000000" w:rsidRPr="00000000">
        <w:rPr>
          <w:u w:val="single"/>
          <w:rtl w:val="0"/>
        </w:rPr>
        <w:t xml:space="preserve">Honoraires de location d’immeubles à usage d’habitation (location vide, meublé ou de droit commun)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46" w:firstLine="0"/>
        <w:rPr>
          <w:i w:val="1"/>
        </w:rPr>
      </w:pPr>
      <w:r w:rsidDel="00000000" w:rsidR="00000000" w:rsidRPr="00000000">
        <w:rPr>
          <w:i w:val="1"/>
          <w:color w:val="ff0000"/>
          <w:rtl w:val="0"/>
        </w:rPr>
        <w:t xml:space="preserve">Conformément au décret D.304-1 de l’arrêté du 2 Octobre 2023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3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26"/>
        <w:gridCol w:w="3402"/>
        <w:gridCol w:w="3605"/>
        <w:tblGridChange w:id="0">
          <w:tblGrid>
            <w:gridCol w:w="3626"/>
            <w:gridCol w:w="3402"/>
            <w:gridCol w:w="360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5" w:right="196" w:hanging="291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TRÈS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TENDUE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5" w:right="196" w:hanging="291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ZONE TENDUE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5" w:right="196" w:hanging="291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ZONE NON TENDUE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Aytré, la Rochelle,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Châtelaillon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-Plage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Angoulins, Dompierre-sur-mer, Lagord, Nieul-sur-mer, Périgny, Puilboreau, Salles-sur-mer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 communes du secteur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Honoraires de location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(visites, constitution du dossier, rédaction d’acte, commercialisation)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b w:val="1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Honoraires de location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(visites, constitution du dossier, rédaction d’acte, commercialisation)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b w:val="1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Honoraires de location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(visites, constitution du dossier, rédaction d’acte, commercialisation)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b w:val="1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Réalisation de 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l’état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des lieux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Réalisation de l’état des lieux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Réalisation de l’état des lieux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136" w:right="0" w:firstLine="112.9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LOCATAIRE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PROPRIÉTAIRE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8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T.T.C. par m² de surface habitable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Frais d’entremise pour :                           logements vides </w:t>
            </w:r>
            <w:r w:rsidDel="00000000" w:rsidR="00000000" w:rsidRPr="00000000">
              <w:rPr>
                <w:b w:val="1"/>
                <w:rtl w:val="0"/>
              </w:rPr>
              <w:t xml:space="preserve">90€</w:t>
            </w:r>
            <w:r w:rsidDel="00000000" w:rsidR="00000000" w:rsidRPr="00000000">
              <w:rPr>
                <w:rtl w:val="0"/>
              </w:rPr>
              <w:t xml:space="preserve"> T.T.C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115.99999999999997"/>
              <w:jc w:val="center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logements meublés </w:t>
            </w:r>
            <w:r w:rsidDel="00000000" w:rsidR="00000000" w:rsidRPr="00000000">
              <w:rPr>
                <w:b w:val="1"/>
                <w:rtl w:val="0"/>
              </w:rPr>
              <w:t xml:space="preserve">150€</w:t>
            </w:r>
            <w:r w:rsidDel="00000000" w:rsidR="00000000" w:rsidRPr="00000000">
              <w:rPr>
                <w:rtl w:val="0"/>
              </w:rPr>
              <w:t xml:space="preserve"> T.T.C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Frais d’entremise pour : </w:t>
            </w:r>
          </w:p>
          <w:p w:rsidR="00000000" w:rsidDel="00000000" w:rsidP="00000000" w:rsidRDefault="00000000" w:rsidRPr="00000000" w14:paraId="0000002A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logements vides  </w:t>
            </w:r>
            <w:r w:rsidDel="00000000" w:rsidR="00000000" w:rsidRPr="00000000">
              <w:rPr>
                <w:b w:val="1"/>
                <w:rtl w:val="0"/>
              </w:rPr>
              <w:t xml:space="preserve">90€</w:t>
            </w:r>
            <w:r w:rsidDel="00000000" w:rsidR="00000000" w:rsidRPr="00000000">
              <w:rPr>
                <w:rtl w:val="0"/>
              </w:rPr>
              <w:t xml:space="preserve"> T.T.C</w:t>
            </w:r>
          </w:p>
          <w:p w:rsidR="00000000" w:rsidDel="00000000" w:rsidP="00000000" w:rsidRDefault="00000000" w:rsidRPr="00000000" w14:paraId="0000002B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logements meublés </w:t>
            </w:r>
            <w:r w:rsidDel="00000000" w:rsidR="00000000" w:rsidRPr="00000000">
              <w:rPr>
                <w:b w:val="1"/>
                <w:rtl w:val="0"/>
              </w:rPr>
              <w:t xml:space="preserve">150€</w:t>
            </w:r>
            <w:r w:rsidDel="00000000" w:rsidR="00000000" w:rsidRPr="00000000">
              <w:rPr>
                <w:rtl w:val="0"/>
              </w:rPr>
              <w:t xml:space="preserve"> T.T.C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Frais d’entremise pour : </w:t>
            </w:r>
          </w:p>
          <w:p w:rsidR="00000000" w:rsidDel="00000000" w:rsidP="00000000" w:rsidRDefault="00000000" w:rsidRPr="00000000" w14:paraId="0000002D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logements vides </w:t>
            </w:r>
            <w:r w:rsidDel="00000000" w:rsidR="00000000" w:rsidRPr="00000000">
              <w:rPr>
                <w:b w:val="1"/>
                <w:rtl w:val="0"/>
              </w:rPr>
              <w:t xml:space="preserve">90€</w:t>
            </w:r>
            <w:r w:rsidDel="00000000" w:rsidR="00000000" w:rsidRPr="00000000">
              <w:rPr>
                <w:rtl w:val="0"/>
              </w:rPr>
              <w:t xml:space="preserve"> T.T.C</w:t>
            </w:r>
          </w:p>
          <w:p w:rsidR="00000000" w:rsidDel="00000000" w:rsidP="00000000" w:rsidRDefault="00000000" w:rsidRPr="00000000" w14:paraId="0000002E">
            <w:pPr>
              <w:ind w:left="137" w:firstLine="115.9999999999999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logements meublés </w:t>
            </w:r>
            <w:r w:rsidDel="00000000" w:rsidR="00000000" w:rsidRPr="00000000">
              <w:rPr>
                <w:b w:val="1"/>
                <w:rtl w:val="0"/>
              </w:rPr>
              <w:t xml:space="preserve">150€</w:t>
            </w:r>
            <w:r w:rsidDel="00000000" w:rsidR="00000000" w:rsidRPr="00000000">
              <w:rPr>
                <w:rtl w:val="0"/>
              </w:rPr>
              <w:t xml:space="preserve"> T.T.C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part d’honoraires de location imputée au propriétaire bailleur reste libre mais ne doit en aucun cas être inférieure à celle réclamée au locataire. Le cabinet reste libre d’appliquer un barème d’honoraires inférieur au décret.</w:t>
      </w:r>
    </w:p>
    <w:p w:rsidR="00000000" w:rsidDel="00000000" w:rsidP="00000000" w:rsidRDefault="00000000" w:rsidRPr="00000000" w14:paraId="00000031">
      <w:pPr>
        <w:spacing w:before="2" w:lineRule="auto"/>
        <w:ind w:left="146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Honoraires de location de parking 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200 € TTC à la charge du locataire.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right="2318" w:firstLine="2463"/>
        <w:rPr/>
      </w:pPr>
      <w:r w:rsidDel="00000000" w:rsidR="00000000" w:rsidRPr="00000000">
        <w:rPr>
          <w:rtl w:val="0"/>
        </w:rPr>
        <w:t xml:space="preserve">GESTION LOCATIVE (Honoraires à la charge du propriétaire)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0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7"/>
        <w:gridCol w:w="5533"/>
        <w:tblGridChange w:id="0">
          <w:tblGrid>
            <w:gridCol w:w="5217"/>
            <w:gridCol w:w="5533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 appartement ou maison vide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 T.T.C. du quittancement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 Local Professionnel ou Commercial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11,96 % T.T.C. du loyer annuel H.T.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 inférieur à 1 an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10 % T.T.C. du loyer annuel net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 supérieur ou égal à 1 an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10 % T.T.C. par année sup. de bail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 de bien meublé (hors locations saisonnières)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8,50 % T.T.C. du quittancement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 de parking ou de garage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8,50 % T.T.C. du loyer annuel net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Garantie de loyer impayé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3,10 % T.T.C. du quittancement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Frais administratifs 4€ T.T.C/mois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tabs>
          <w:tab w:val="left" w:leader="none" w:pos="11069"/>
        </w:tabs>
        <w:ind w:firstLine="117"/>
        <w:rPr/>
      </w:pPr>
      <w:r w:rsidDel="00000000" w:rsidR="00000000" w:rsidRPr="00000000">
        <w:rPr>
          <w:highlight w:val="yellow"/>
          <w:rtl w:val="0"/>
        </w:rPr>
        <w:t xml:space="preserve"> AUTRES PRESTATIONS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9" w:lineRule="auto"/>
        <w:ind w:left="117" w:right="34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Renouvellement d'un bail d'habitation vide, meublé et de droit commun : Forfait de 300,00 € TTC Avenant au bail d’habitation vide, meublé et de droit commun : Forfait de 200,00 € TTC</w:t>
      </w:r>
    </w:p>
    <w:p w:rsidR="00000000" w:rsidDel="00000000" w:rsidP="00000000" w:rsidRDefault="00000000" w:rsidRPr="00000000" w14:paraId="00000047">
      <w:pPr>
        <w:spacing w:before="47" w:lineRule="auto"/>
        <w:ind w:left="146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T.V.A. comprise, au taux légal en vigueur (20%).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2264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463" w:right="2264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TRANSACTION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5"/>
          <w:tab w:val="left" w:leader="none" w:pos="1156"/>
        </w:tabs>
        <w:spacing w:after="0" w:before="242" w:line="240" w:lineRule="auto"/>
        <w:ind w:left="146" w:right="280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IMMEUBLES </w:t>
      </w:r>
      <w:r w:rsidDel="00000000" w:rsidR="00000000" w:rsidRPr="00000000">
        <w:rPr>
          <w:b w:val="1"/>
          <w:u w:val="single"/>
          <w:rtl w:val="0"/>
        </w:rPr>
        <w:t xml:space="preserve">À USAGE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D’HABITATION NEUFS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Honoraires à la charge du vendeur </w:t>
        <w:tab/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honoraires appliqués sont de 5% HT soit 6% TTC du prix de vente TTC.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  <w:tab w:val="left" w:leader="none" w:pos="1162"/>
        </w:tabs>
        <w:spacing w:after="0" w:before="188" w:line="240" w:lineRule="auto"/>
        <w:ind w:left="14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IMMEUBLES </w:t>
      </w:r>
      <w:r w:rsidDel="00000000" w:rsidR="00000000" w:rsidRPr="00000000">
        <w:rPr>
          <w:b w:val="1"/>
          <w:rtl w:val="0"/>
        </w:rPr>
        <w:t xml:space="preserve">À USAGE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D’HABITATION ANCIENS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Honoraires AU MAXIMUM à la charge de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l’acquéreur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105411</wp:posOffset>
                </wp:positionH>
                <wp:positionV relativeFrom="paragraph">
                  <wp:posOffset>342265</wp:posOffset>
                </wp:positionV>
                <wp:extent cx="6835140" cy="90297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2B3775" w:rsidDel="00000000" w:rsidP="00000000" w:rsidRDefault="00874E6D" w:rsidRPr="00000000">
                            <w:pPr>
                              <w:pStyle w:val="Corpsdetexte"/>
                            </w:pPr>
                            <w:r w:rsidDel="00000000" w:rsidR="00000000" w:rsidRPr="00874E6D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6835140" cy="904371"/>
                                  <wp:effectExtent b="0" l="0" r="0" t="0"/>
                                  <wp:docPr id="8" name="Image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5140" cy="904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105411</wp:posOffset>
                </wp:positionH>
                <wp:positionV relativeFrom="paragraph">
                  <wp:posOffset>342265</wp:posOffset>
                </wp:positionV>
                <wp:extent cx="6835140" cy="90297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902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Style w:val="Heading1"/>
        <w:spacing w:before="36" w:lineRule="auto"/>
        <w:ind w:left="1867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TRANSACTION suite (Honoraires AU MAXIMUM à la charge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l’acquéreur)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before="1" w:lineRule="auto"/>
        <w:ind w:firstLine="146"/>
        <w:rPr/>
      </w:pPr>
      <w:r w:rsidDel="00000000" w:rsidR="00000000" w:rsidRPr="00000000">
        <w:rPr>
          <w:u w:val="single"/>
          <w:rtl w:val="0"/>
        </w:rPr>
        <w:t xml:space="preserve">IMMEUBLES À USAGE PROFESSIONNEL ET/OU 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Vente d’immeuble et terrains (Honoraires à la charge de l’acquéreur)</w:t>
      </w:r>
    </w:p>
    <w:tbl>
      <w:tblPr>
        <w:tblStyle w:val="Table3"/>
        <w:tblW w:w="10745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5525"/>
        <w:tblGridChange w:id="0">
          <w:tblGrid>
            <w:gridCol w:w="5220"/>
            <w:gridCol w:w="5525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3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Jusqu’à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100.000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FORFAIT 4500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H.T soit 5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400 €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TTC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3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101.001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à 149 999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FORFAIT 6000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H.T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soit 7 200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TTC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3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150.000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à 499.999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5.5 % HT soit 6.6 % TTC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3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Au-delà de 500.000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4.5% HT soit 5.4 % TTC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ind w:firstLine="146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  <w:t xml:space="preserve">DROITS COMMERCIAUX (Honoraires à la charge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l’acquéreur)</w:t>
      </w:r>
    </w:p>
    <w:tbl>
      <w:tblPr>
        <w:tblStyle w:val="Table4"/>
        <w:tblW w:w="10751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7"/>
        <w:gridCol w:w="5534"/>
        <w:tblGridChange w:id="0">
          <w:tblGrid>
            <w:gridCol w:w="5217"/>
            <w:gridCol w:w="5534"/>
          </w:tblGrid>
        </w:tblGridChange>
      </w:tblGrid>
      <w:tr>
        <w:trPr>
          <w:cantSplit w:val="0"/>
          <w:trHeight w:val="74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1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Cession de baux commerciaux, de droit au bail, de fonds de commerces, de parts sociales de sociétés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8 % HT soit 9.6 % TTC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LOCATIONS PROFESSIONNELLES</w:t>
      </w:r>
    </w:p>
    <w:tbl>
      <w:tblPr>
        <w:tblStyle w:val="Table5"/>
        <w:tblW w:w="10633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9"/>
        <w:gridCol w:w="5390"/>
        <w:gridCol w:w="2694"/>
        <w:tblGridChange w:id="0">
          <w:tblGrid>
            <w:gridCol w:w="2549"/>
            <w:gridCol w:w="5390"/>
            <w:gridCol w:w="2694"/>
          </w:tblGrid>
        </w:tblGridChange>
      </w:tblGrid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 commercial*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8" w:lineRule="auto"/>
              <w:ind w:left="132" w:right="10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25 % HT (30% TTC) du loyer annuel HT avec un minimum forfaitaire de 1500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HT (1800 € TTC)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 professionnel *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32" w:right="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25 % HT (30% TTC) du loyer annuel HT avec un minimum forfaitaire de 1500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HT (1800 €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TTC)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 précaire *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25 % HT (30% TTC) du loyer annuel HT calculé sur 12 mois avec un minimum forfaitaire de 1500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 (1800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TTC)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spacing w:before="1" w:lineRule="auto"/>
        <w:ind w:firstLine="146"/>
        <w:rPr/>
      </w:pPr>
      <w:r w:rsidDel="00000000" w:rsidR="00000000" w:rsidRPr="00000000">
        <w:rPr>
          <w:rtl w:val="0"/>
        </w:rPr>
        <w:t xml:space="preserve">MURS COMMERCIAUX LOUES / INVESTISSEMENTS</w:t>
      </w:r>
    </w:p>
    <w:tbl>
      <w:tblPr>
        <w:tblStyle w:val="Table6"/>
        <w:tblW w:w="10613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41"/>
        <w:gridCol w:w="2672"/>
        <w:tblGridChange w:id="0">
          <w:tblGrid>
            <w:gridCol w:w="7941"/>
            <w:gridCol w:w="2672"/>
          </w:tblGrid>
        </w:tblGridChange>
      </w:tblGrid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5" w:right="-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7.5 % HT (9% TTC) du prix de vente des murs HT avec un minimum forfaitaire de 4 500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HT soit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5 400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TTC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4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CESSION DE DROIT AU BAIL, DE FONDS DE COMMERCE, DE PARTS SOCIALES DE SOCIÉTÉS</w:t>
      </w:r>
    </w:p>
    <w:tbl>
      <w:tblPr>
        <w:tblStyle w:val="Table7"/>
        <w:tblW w:w="10613.0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41"/>
        <w:gridCol w:w="2672"/>
        <w:tblGridChange w:id="0">
          <w:tblGrid>
            <w:gridCol w:w="7941"/>
            <w:gridCol w:w="2672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8 % HT soit 9,6 % TTC avec forfait minimum de 4 500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 soit 5 400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TTC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5" w:right="1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Droit au bail cédé gratuitement : application des honoraires de la rubrique « location » ci- dessus avec un forfait minimum de 4 500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 soit 5 400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TTC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charge du preneur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spacing w:before="1" w:lineRule="auto"/>
        <w:ind w:firstLine="146"/>
        <w:rPr/>
      </w:pPr>
      <w:r w:rsidDel="00000000" w:rsidR="00000000" w:rsidRPr="00000000">
        <w:rPr>
          <w:rtl w:val="0"/>
        </w:rPr>
        <w:t xml:space="preserve">MANDAT DE RECHERCHE</w:t>
      </w:r>
    </w:p>
    <w:tbl>
      <w:tblPr>
        <w:tblStyle w:val="Table8"/>
        <w:tblW w:w="10611.999999999998" w:type="dxa"/>
        <w:jc w:val="left"/>
        <w:tblInd w:w="1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9"/>
        <w:gridCol w:w="5303"/>
        <w:tblGridChange w:id="0">
          <w:tblGrid>
            <w:gridCol w:w="5309"/>
            <w:gridCol w:w="5303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Hors barème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Suivant accord et mandat spécifique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tabs>
          <w:tab w:val="left" w:leader="none" w:pos="11074"/>
        </w:tabs>
        <w:spacing w:before="1" w:lineRule="auto"/>
        <w:ind w:firstLine="117"/>
        <w:rPr/>
      </w:pPr>
      <w:r w:rsidDel="00000000" w:rsidR="00000000" w:rsidRPr="00000000">
        <w:rPr>
          <w:highlight w:val="yellow"/>
          <w:rtl w:val="0"/>
        </w:rPr>
        <w:t xml:space="preserve"> PRESTATIONS DIVERSES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Envoi appel de loyer commercial : 2,50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TTC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Vacation pour toutes prestations particulières (diagnostics, mises aux normes, assemblées générales, travaux, expertises, procédures, traitement des sinistres, etc ...) 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90 € TTC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Heure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17" w:lineRule="auto"/>
        <w:ind w:left="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Vacation pour travaux et menues réparations locatives, travaux de secrétariat : 90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TTC / Heure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Frais de dossier diagnostic / mise aux normes : 30,00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TTC (Amiante, Plomb, DPE, Parasitaire, Mesurages, Gaz, </w:t>
      </w:r>
      <w:r w:rsidDel="00000000" w:rsidR="00000000" w:rsidRPr="00000000">
        <w:rPr>
          <w:sz w:val="18"/>
          <w:szCs w:val="18"/>
          <w:rtl w:val="0"/>
        </w:rPr>
        <w:t xml:space="preserve">Électricité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Incendie, etc ...) Frais de gestion police assurance (CGIA,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12,00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TTC/ an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6" w:right="57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Avis de valeur pour l’immobilier d’entreprise : Forfait de 420,00 € TTC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Avis de valeur OFFERT si signature du mandat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1" w:lineRule="auto"/>
        <w:ind w:left="146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T.V.A. comprise, au taux légal en vigueur (20%).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130" w:lineRule="auto"/>
        <w:ind w:left="146" w:firstLine="0"/>
        <w:rPr>
          <w:sz w:val="24"/>
          <w:szCs w:val="24"/>
        </w:rPr>
        <w:sectPr>
          <w:type w:val="continuous"/>
          <w:pgSz w:h="16860" w:w="23820" w:orient="landscape"/>
          <w:pgMar w:bottom="280" w:top="300" w:left="420" w:right="520" w:header="720" w:footer="720"/>
          <w:cols w:equalWidth="0" w:num="2">
            <w:col w:space="586" w:w="11147"/>
            <w:col w:space="0" w:w="11147"/>
          </w:cols>
        </w:sect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Les honoraires sont inclus dans le prix de présentation HT + TVA en vigueur et en % HT du prix de vente ou de location. </w:t>
      </w:r>
      <w:r w:rsidDel="00000000" w:rsidR="00000000" w:rsidRPr="00000000">
        <w:rPr>
          <w:sz w:val="24"/>
          <w:szCs w:val="24"/>
          <w:rtl w:val="0"/>
        </w:rPr>
        <w:t xml:space="preserve">Zone tendue  selon arrêté du 02/10/2023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68" w:lineRule="auto"/>
        <w:ind w:lef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68" w:lineRule="auto"/>
        <w:ind w:lef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68" w:lineRule="auto"/>
        <w:ind w:lef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68" w:lineRule="auto"/>
        <w:ind w:lef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SAS IMMTIM AU CAPITAL DE 65 808€ . RCS LA ROCHELLE B</w:t>
      </w:r>
      <w:r w:rsidDel="00000000" w:rsidR="00000000" w:rsidRPr="00000000">
        <w:rPr>
          <w:i w:val="1"/>
          <w:color w:val="202a34"/>
          <w:sz w:val="16"/>
          <w:szCs w:val="16"/>
          <w:rtl w:val="0"/>
        </w:rPr>
        <w:t xml:space="preserve">331 497180 Carte Professionnelle CPI 1702 2016 000 005 081 CCI de LA ROCHELLE - Caisse de Garantie GALIAN - 89 rue de La Boétie 75008 PARIS Montant T : 360 000€ - G : 1 400 000€</w:t>
      </w:r>
      <w:r w:rsidDel="00000000" w:rsidR="00000000" w:rsidRPr="00000000">
        <w:rPr>
          <w:rtl w:val="0"/>
        </w:rPr>
      </w:r>
    </w:p>
    <w:sectPr>
      <w:type w:val="continuous"/>
      <w:pgSz w:h="16860" w:w="23820" w:orient="landscape"/>
      <w:pgMar w:bottom="280" w:top="300" w:left="42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Trebuchet M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63"/>
      <w:jc w:val="center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/>
    </w:pPr>
    <w:rPr>
      <w:b w:val="1"/>
    </w:rPr>
  </w:style>
  <w:style w:type="paragraph" w:styleId="Heading3">
    <w:name w:val="heading 3"/>
    <w:basedOn w:val="Normal"/>
    <w:next w:val="Normal"/>
    <w:pPr>
      <w:ind w:left="117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" w:lineRule="auto"/>
      <w:ind w:left="3316" w:right="3316"/>
      <w:jc w:val="center"/>
    </w:pPr>
    <w:rPr>
      <w:sz w:val="44"/>
      <w:szCs w:val="44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fr-FR"/>
    </w:rPr>
  </w:style>
  <w:style w:type="paragraph" w:styleId="Titre1">
    <w:name w:val="heading 1"/>
    <w:basedOn w:val="Normal"/>
    <w:uiPriority w:val="1"/>
    <w:qFormat w:val="1"/>
    <w:pPr>
      <w:ind w:left="2463"/>
      <w:jc w:val="center"/>
      <w:outlineLvl w:val="0"/>
    </w:pPr>
    <w:rPr>
      <w:b w:val="1"/>
      <w:bCs w:val="1"/>
      <w:sz w:val="26"/>
      <w:szCs w:val="26"/>
    </w:rPr>
  </w:style>
  <w:style w:type="paragraph" w:styleId="Titre2">
    <w:name w:val="heading 2"/>
    <w:basedOn w:val="Normal"/>
    <w:uiPriority w:val="1"/>
    <w:qFormat w:val="1"/>
    <w:pPr>
      <w:ind w:left="146"/>
      <w:outlineLvl w:val="1"/>
    </w:pPr>
    <w:rPr>
      <w:b w:val="1"/>
      <w:bCs w:val="1"/>
    </w:rPr>
  </w:style>
  <w:style w:type="paragraph" w:styleId="Titre3">
    <w:name w:val="heading 3"/>
    <w:basedOn w:val="Normal"/>
    <w:uiPriority w:val="1"/>
    <w:qFormat w:val="1"/>
    <w:pPr>
      <w:ind w:left="117"/>
      <w:outlineLvl w:val="2"/>
    </w:pPr>
    <w:rPr>
      <w:rFonts w:ascii="Times New Roman" w:cs="Times New Roman" w:eastAsia="Times New Roman" w:hAnsi="Times New Roman"/>
      <w:b w:val="1"/>
      <w:bCs w:val="1"/>
      <w:sz w:val="18"/>
      <w:szCs w:val="1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18"/>
      <w:szCs w:val="18"/>
    </w:rPr>
  </w:style>
  <w:style w:type="paragraph" w:styleId="Titre">
    <w:name w:val="Title"/>
    <w:basedOn w:val="Normal"/>
    <w:uiPriority w:val="1"/>
    <w:qFormat w:val="1"/>
    <w:pPr>
      <w:spacing w:before="24"/>
      <w:ind w:left="3316" w:right="3316"/>
      <w:jc w:val="center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 w:val="1"/>
    <w:pPr>
      <w:spacing w:before="188"/>
      <w:ind w:left="146" w:hanging="1048"/>
    </w:pPr>
  </w:style>
  <w:style w:type="paragraph" w:styleId="TableParagraph" w:customStyle="1">
    <w:name w:val="Table Paragraph"/>
    <w:basedOn w:val="Normal"/>
    <w:uiPriority w:val="1"/>
    <w:qFormat w:val="1"/>
    <w:pPr>
      <w:ind w:left="132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l8kfm7cEGEzwr55G/+++/b3oQ==">CgMxLjAyCGguZ2pkZ3hzOAByITFTVWtoOVZ6RGtMcU55R2Q1MzNtTEh1UjdEX1pneDNIWQ==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2023-10-05T13:53:00Z</dcterms:created>
  <dc:creator>Accueil3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