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page" w:horzAnchor="margin" w:tblpXSpec="center" w:tblpY="631"/>
        <w:tblW w:w="22592" w:type="dxa"/>
        <w:tblInd w:w="0" w:type="dxa"/>
        <w:tblCellMar>
          <w:top w:w="78" w:type="dxa"/>
          <w:left w:w="104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634"/>
        <w:gridCol w:w="9958"/>
      </w:tblGrid>
      <w:tr w:rsidR="005D376F" w:rsidRPr="005D376F" w14:paraId="7C096A9F" w14:textId="77777777" w:rsidTr="00545FFE">
        <w:trPr>
          <w:trHeight w:val="277"/>
        </w:trPr>
        <w:tc>
          <w:tcPr>
            <w:tcW w:w="2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C9C6" w14:textId="77777777" w:rsidR="005D376F" w:rsidRPr="00545FFE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  <w:highlight w:val="yellow"/>
              </w:rPr>
              <w:t>Honoraires de location (selon loi ALUR et décret n°2014-890 du 1</w:t>
            </w: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  <w:highlight w:val="yellow"/>
                <w:vertAlign w:val="superscript"/>
              </w:rPr>
              <w:t>er</w:t>
            </w: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août 2014)</w:t>
            </w:r>
          </w:p>
        </w:tc>
      </w:tr>
      <w:tr w:rsidR="005D376F" w:rsidRPr="005D376F" w14:paraId="4C465255" w14:textId="77777777" w:rsidTr="005D376F">
        <w:trPr>
          <w:trHeight w:val="313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C50B9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Visite, constitution de dossier et rédac.de bail (charge bailleur + preneur)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7F87" w14:textId="77777777" w:rsidR="005D376F" w:rsidRPr="005D376F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8 €TTC /m²</w:t>
            </w:r>
          </w:p>
        </w:tc>
      </w:tr>
      <w:tr w:rsidR="005D376F" w:rsidRPr="005D376F" w14:paraId="62B57A97" w14:textId="77777777" w:rsidTr="005D376F">
        <w:trPr>
          <w:trHeight w:val="174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15D1F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Entremise et négociation (charge bailleur)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4AB9" w14:textId="77777777" w:rsidR="005D376F" w:rsidRPr="005D376F" w:rsidRDefault="005D376F" w:rsidP="005D376F">
            <w:pPr>
              <w:ind w:left="8" w:right="830"/>
              <w:jc w:val="center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OFFERT</w:t>
            </w:r>
          </w:p>
        </w:tc>
      </w:tr>
      <w:tr w:rsidR="005D376F" w:rsidRPr="005D376F" w14:paraId="041D13D8" w14:textId="77777777" w:rsidTr="005D376F">
        <w:trPr>
          <w:trHeight w:val="255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576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Etat des lieux d’entrée (charge bailleur et preneur)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5EB35" w14:textId="77777777" w:rsidR="005D376F" w:rsidRPr="005D376F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3 € TTC/m²</w:t>
            </w:r>
          </w:p>
        </w:tc>
      </w:tr>
      <w:tr w:rsidR="005D376F" w:rsidRPr="005D376F" w14:paraId="31E0C1D9" w14:textId="77777777" w:rsidTr="005D376F">
        <w:trPr>
          <w:trHeight w:val="255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2CC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Etat des lieux sortie (charge bailleur)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7832" w14:textId="77777777" w:rsidR="005D376F" w:rsidRPr="005D376F" w:rsidRDefault="005D376F" w:rsidP="005D376F">
            <w:pPr>
              <w:ind w:left="8" w:right="830"/>
              <w:jc w:val="center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3 € TTC/m²</w:t>
            </w:r>
          </w:p>
        </w:tc>
      </w:tr>
      <w:tr w:rsidR="005D376F" w:rsidRPr="005D376F" w14:paraId="4CF1EE03" w14:textId="77777777" w:rsidTr="005D376F">
        <w:trPr>
          <w:trHeight w:val="339"/>
        </w:trPr>
        <w:tc>
          <w:tcPr>
            <w:tcW w:w="2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77B4" w14:textId="77777777" w:rsidR="005D376F" w:rsidRPr="00545FFE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  <w:highlight w:val="yellow"/>
              </w:rPr>
              <w:t>Honoraires de gestion locative (hors assurance loyers impayés) (charge bailleur)</w:t>
            </w:r>
          </w:p>
        </w:tc>
      </w:tr>
      <w:tr w:rsidR="005D376F" w:rsidRPr="005D376F" w14:paraId="6677E3A3" w14:textId="77777777" w:rsidTr="00452858">
        <w:trPr>
          <w:trHeight w:val="215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6B6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Par Lot d’habitation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6B36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6,7 % HT </w:t>
            </w:r>
            <w:r w:rsidRPr="005D376F">
              <w:rPr>
                <w:rFonts w:ascii="Calibri" w:eastAsia="Segoe UI" w:hAnsi="Calibri" w:cs="Calibri"/>
                <w:b/>
                <w:bCs/>
                <w:color w:val="000000"/>
                <w:sz w:val="20"/>
                <w:szCs w:val="20"/>
              </w:rPr>
              <w:t>soit 8,04 % TTC</w:t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sur les sommes encaissées</w:t>
            </w:r>
          </w:p>
        </w:tc>
      </w:tr>
      <w:tr w:rsidR="005D376F" w:rsidRPr="005D376F" w14:paraId="786553AE" w14:textId="77777777" w:rsidTr="00452858">
        <w:trPr>
          <w:trHeight w:val="290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925" w14:textId="77777777" w:rsidR="005D376F" w:rsidRPr="005D376F" w:rsidRDefault="005D376F" w:rsidP="005D376F">
            <w:pPr>
              <w:spacing w:line="275" w:lineRule="auto"/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Plusieurs lots isolés confiés simultanément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5D9E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5,84 % HT </w:t>
            </w:r>
            <w:r w:rsidRPr="005D376F">
              <w:rPr>
                <w:rFonts w:ascii="Calibri" w:eastAsia="Segoe UI" w:hAnsi="Calibri" w:cs="Calibri"/>
                <w:b/>
                <w:bCs/>
                <w:color w:val="000000"/>
                <w:sz w:val="20"/>
                <w:szCs w:val="20"/>
              </w:rPr>
              <w:t>soit 7,00 % TTC</w:t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sur les sommes encaissées</w:t>
            </w:r>
          </w:p>
        </w:tc>
      </w:tr>
      <w:tr w:rsidR="005D376F" w:rsidRPr="005D376F" w14:paraId="6CD4DE1E" w14:textId="77777777" w:rsidTr="00452858">
        <w:trPr>
          <w:trHeight w:val="310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FE2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Immeuble de plus de 10 lots d’habitation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9CBE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Devis en fonction des prestations réalisées</w:t>
            </w:r>
          </w:p>
        </w:tc>
      </w:tr>
      <w:tr w:rsidR="005D376F" w:rsidRPr="005D376F" w14:paraId="42EA0F40" w14:textId="77777777" w:rsidTr="005D376F">
        <w:trPr>
          <w:trHeight w:val="33"/>
        </w:trPr>
        <w:tc>
          <w:tcPr>
            <w:tcW w:w="2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0E79" w14:textId="77777777" w:rsidR="005D376F" w:rsidRPr="00545FFE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  <w:highlight w:val="yellow"/>
              </w:rPr>
              <w:t>Honoraires complémentaires gestion locative (charge bailleur)</w:t>
            </w:r>
          </w:p>
        </w:tc>
      </w:tr>
      <w:tr w:rsidR="005D376F" w:rsidRPr="005D376F" w14:paraId="4DA84DB1" w14:textId="77777777" w:rsidTr="005D376F">
        <w:trPr>
          <w:trHeight w:val="368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D52E" w14:textId="14A54244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 xml:space="preserve">Assurance loyers et charges impayés (frais de contentieux + protection juridique du </w:t>
            </w:r>
            <w:r w:rsidR="00545FFE"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bailleur (</w:t>
            </w: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litiges nés du contrat de bail</w:t>
            </w:r>
            <w:r w:rsidR="00545FFE"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),</w:t>
            </w: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 xml:space="preserve"> dégradations immobilières causées par le locataire).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1C3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Prime </w:t>
            </w:r>
            <w:r w:rsidRPr="005D376F">
              <w:rPr>
                <w:rFonts w:ascii="Calibri" w:eastAsia="Segoe UI" w:hAnsi="Calibri" w:cs="Calibri"/>
                <w:b/>
                <w:bCs/>
                <w:color w:val="000000"/>
                <w:sz w:val="20"/>
                <w:szCs w:val="20"/>
              </w:rPr>
              <w:t>2,30 % TTC</w:t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sur les montants quittancés </w:t>
            </w:r>
          </w:p>
        </w:tc>
      </w:tr>
      <w:tr w:rsidR="005D376F" w:rsidRPr="005D376F" w14:paraId="595EFFEA" w14:textId="77777777" w:rsidTr="005D376F">
        <w:trPr>
          <w:trHeight w:val="254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94FB3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Aide à la déclaration des revenus fonciers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35C0B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36 € TTC par lot principal</w:t>
            </w:r>
          </w:p>
        </w:tc>
      </w:tr>
      <w:tr w:rsidR="005D376F" w:rsidRPr="005D376F" w14:paraId="08D36704" w14:textId="77777777" w:rsidTr="005D376F">
        <w:trPr>
          <w:trHeight w:val="254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C9FD5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Gestion des charges de copropriété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C7078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color w:val="000000"/>
                <w:sz w:val="20"/>
                <w:szCs w:val="20"/>
                <w:highlight w:val="yellow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>Inclus dans les honoraires de gestion </w:t>
            </w:r>
          </w:p>
        </w:tc>
      </w:tr>
      <w:tr w:rsidR="005D376F" w:rsidRPr="005D376F" w14:paraId="6D6FE4C0" w14:textId="77777777" w:rsidTr="00452858">
        <w:trPr>
          <w:trHeight w:val="548"/>
        </w:trPr>
        <w:tc>
          <w:tcPr>
            <w:tcW w:w="1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3B981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Honoraires de Suivi de travaux (hors gestion courante- honoraires calculés sur le montant de la facture TTC)</w:t>
            </w:r>
          </w:p>
        </w:tc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0546B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Jusqu’à 400 € TTC </w:t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sym w:font="Wingdings" w:char="F0E8"/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inclus</w:t>
            </w:r>
          </w:p>
          <w:p w14:paraId="36035C72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Entre 401 € et 1 000 € TTC </w:t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sym w:font="Wingdings" w:char="F0E8"/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2% HT</w:t>
            </w:r>
          </w:p>
          <w:p w14:paraId="39FE5782" w14:textId="77777777" w:rsidR="005D376F" w:rsidRPr="005D376F" w:rsidRDefault="005D376F" w:rsidP="005D376F">
            <w:pPr>
              <w:ind w:left="8" w:right="830"/>
              <w:rPr>
                <w:rFonts w:ascii="Calibri" w:eastAsia="Segoe UI" w:hAnsi="Calibri" w:cs="Calibri"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Au-delà de 1 000 € TTC </w:t>
            </w:r>
            <w:r w:rsidRPr="005D37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sym w:font="Wingdings" w:char="F0E8"/>
            </w:r>
            <w:r w:rsidRPr="005D376F">
              <w:rPr>
                <w:rFonts w:ascii="Calibri" w:eastAsia="Segoe UI" w:hAnsi="Calibri" w:cs="Calibri"/>
                <w:color w:val="000000"/>
                <w:sz w:val="20"/>
                <w:szCs w:val="20"/>
              </w:rPr>
              <w:t xml:space="preserve"> 4% HT</w:t>
            </w:r>
          </w:p>
        </w:tc>
      </w:tr>
      <w:tr w:rsidR="005D376F" w:rsidRPr="005D376F" w14:paraId="4D1B21CE" w14:textId="77777777" w:rsidTr="005D376F">
        <w:trPr>
          <w:trHeight w:val="128"/>
        </w:trPr>
        <w:tc>
          <w:tcPr>
            <w:tcW w:w="2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7815F" w14:textId="77777777" w:rsidR="005D376F" w:rsidRPr="005D376F" w:rsidRDefault="005D376F" w:rsidP="005D376F">
            <w:pPr>
              <w:ind w:left="8" w:right="8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5FFE">
              <w:rPr>
                <w:rFonts w:ascii="Calibri" w:eastAsia="Segoe UI" w:hAnsi="Calibri" w:cs="Calibri"/>
                <w:b/>
                <w:color w:val="FF0000"/>
                <w:sz w:val="20"/>
                <w:szCs w:val="20"/>
              </w:rPr>
              <w:t>Estimation valeur locative</w:t>
            </w:r>
          </w:p>
        </w:tc>
      </w:tr>
      <w:tr w:rsidR="005D376F" w:rsidRPr="005D376F" w14:paraId="2A58649F" w14:textId="77777777" w:rsidTr="00452858">
        <w:trPr>
          <w:trHeight w:val="197"/>
        </w:trPr>
        <w:tc>
          <w:tcPr>
            <w:tcW w:w="2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CC543" w14:textId="77777777" w:rsidR="005D376F" w:rsidRPr="005D376F" w:rsidRDefault="005D376F" w:rsidP="005D376F">
            <w:pPr>
              <w:ind w:left="8" w:right="83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D376F">
              <w:rPr>
                <w:rFonts w:ascii="Calibri" w:eastAsia="Segoe UI" w:hAnsi="Calibri" w:cs="Calibri"/>
                <w:b/>
                <w:color w:val="000000"/>
                <w:sz w:val="20"/>
                <w:szCs w:val="20"/>
              </w:rPr>
              <w:t>200 € TTC (montant déduit des honoraires de location dans le cadre de la signature d’un mandat de gestion)</w:t>
            </w:r>
          </w:p>
        </w:tc>
      </w:tr>
    </w:tbl>
    <w:p w14:paraId="6281971A" w14:textId="4891033D" w:rsidR="005D376F" w:rsidRPr="00452858" w:rsidRDefault="00452858" w:rsidP="00452858">
      <w:pPr>
        <w:jc w:val="center"/>
        <w:rPr>
          <w:b/>
          <w:bCs/>
          <w:i/>
          <w:iCs/>
          <w:color w:val="FF0000"/>
        </w:rPr>
      </w:pPr>
      <w:r w:rsidRPr="007039EE">
        <w:rPr>
          <w:b/>
          <w:bCs/>
          <w:i/>
          <w:iCs/>
          <w:color w:val="FF0000"/>
        </w:rPr>
        <w:t xml:space="preserve">BAREME </w:t>
      </w:r>
      <w:r w:rsidR="007039EE" w:rsidRPr="007039EE">
        <w:rPr>
          <w:b/>
          <w:bCs/>
          <w:i/>
          <w:iCs/>
          <w:color w:val="FF0000"/>
        </w:rPr>
        <w:t>ORPI Saint Symphorien</w:t>
      </w:r>
    </w:p>
    <w:p w14:paraId="4AB68A14" w14:textId="21DF0BCE" w:rsidR="00452858" w:rsidRDefault="00452858" w:rsidP="00452858">
      <w:pPr>
        <w:ind w:left="-851"/>
        <w:rPr>
          <w:b/>
          <w:bCs/>
          <w:sz w:val="18"/>
          <w:szCs w:val="18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96C9" wp14:editId="175B0B25">
                <wp:simplePos x="0" y="0"/>
                <wp:positionH relativeFrom="column">
                  <wp:posOffset>-375920</wp:posOffset>
                </wp:positionH>
                <wp:positionV relativeFrom="paragraph">
                  <wp:posOffset>4763135</wp:posOffset>
                </wp:positionV>
                <wp:extent cx="14087475" cy="0"/>
                <wp:effectExtent l="0" t="0" r="0" b="0"/>
                <wp:wrapNone/>
                <wp:docPr id="19829938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FCC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375.05pt" to="1079.6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MBmgEAAIkDAAAOAAAAZHJzL2Uyb0RvYy54bWysU02P0zAQvSPxHyzfadLVwq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5D376F" w:rsidRPr="005D376F">
        <w:rPr>
          <w:color w:val="FF0000"/>
          <w:sz w:val="18"/>
          <w:szCs w:val="18"/>
        </w:rPr>
        <w:t>*Honoraires au 01/05/2024, Taux de TVA en vigueur 20% sous réserve de modifications des dispositions fiscales ultérieures. En cas de délégation de mandat, les honoraires applicables sont ceux de l’agence ayant reçu le mandat initial</w:t>
      </w:r>
      <w:r w:rsidR="005D376F" w:rsidRPr="00452858">
        <w:rPr>
          <w:b/>
          <w:bCs/>
        </w:rPr>
        <w:t>.</w:t>
      </w:r>
      <w:r w:rsidRPr="00452858">
        <w:rPr>
          <w:b/>
          <w:bCs/>
        </w:rPr>
        <w:t xml:space="preserve">      </w:t>
      </w:r>
      <w:r w:rsidRPr="00452858">
        <w:rPr>
          <w:b/>
          <w:bCs/>
          <w:sz w:val="18"/>
          <w:szCs w:val="18"/>
        </w:rPr>
        <w:t>RCS Metz 524 730 173 00027 - SARL au capital de 7500 € -  Garantie VERSPIEREN – Ass. ALLIANZ - 8, Av. STADE DE FRANCE 93210 ST DENIS - Montant garantie : 110.000,00 €</w:t>
      </w:r>
      <w:r>
        <w:rPr>
          <w:b/>
          <w:bCs/>
          <w:sz w:val="18"/>
          <w:szCs w:val="18"/>
        </w:rPr>
        <w:t>.</w:t>
      </w:r>
    </w:p>
    <w:p w14:paraId="69B21D6A" w14:textId="77777777" w:rsidR="007039EE" w:rsidRDefault="007039EE" w:rsidP="00452858">
      <w:pPr>
        <w:jc w:val="center"/>
        <w:rPr>
          <w:b/>
          <w:bCs/>
          <w:sz w:val="32"/>
          <w:szCs w:val="32"/>
          <w:u w:val="single"/>
        </w:rPr>
      </w:pPr>
    </w:p>
    <w:p w14:paraId="33C59092" w14:textId="04D49057" w:rsidR="00452858" w:rsidRPr="007039EE" w:rsidRDefault="00452858" w:rsidP="00452858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039EE">
        <w:rPr>
          <w:b/>
          <w:bCs/>
          <w:color w:val="FF0000"/>
          <w:sz w:val="32"/>
          <w:szCs w:val="32"/>
          <w:highlight w:val="yellow"/>
          <w:u w:val="single"/>
        </w:rPr>
        <w:t>Honoraires de Négociation Transaction</w:t>
      </w:r>
    </w:p>
    <w:p w14:paraId="18B93B37" w14:textId="45AF1DC1" w:rsidR="00452858" w:rsidRPr="00452858" w:rsidRDefault="00452858" w:rsidP="00452858">
      <w:pPr>
        <w:ind w:left="-851"/>
        <w:jc w:val="center"/>
        <w:rPr>
          <w:b/>
          <w:bCs/>
          <w:color w:val="FF0000"/>
          <w:sz w:val="28"/>
          <w:szCs w:val="28"/>
        </w:rPr>
      </w:pPr>
      <w:r w:rsidRPr="00452858">
        <w:rPr>
          <w:b/>
          <w:bCs/>
          <w:color w:val="FF0000"/>
          <w:sz w:val="24"/>
          <w:szCs w:val="24"/>
        </w:rPr>
        <w:t xml:space="preserve">           </w:t>
      </w:r>
      <w:r w:rsidRPr="00452858">
        <w:rPr>
          <w:b/>
          <w:bCs/>
          <w:color w:val="FF0000"/>
          <w:sz w:val="28"/>
          <w:szCs w:val="28"/>
        </w:rPr>
        <w:t>À la charge de l’Acquéreur</w:t>
      </w:r>
    </w:p>
    <w:tbl>
      <w:tblPr>
        <w:tblStyle w:val="Grilledutableau"/>
        <w:tblpPr w:leftFromText="141" w:rightFromText="141" w:vertAnchor="text" w:horzAnchor="margin" w:tblpXSpec="center" w:tblpY="-56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548"/>
        <w:gridCol w:w="5737"/>
      </w:tblGrid>
      <w:tr w:rsidR="00452858" w14:paraId="1AF233A3" w14:textId="77777777" w:rsidTr="00452858">
        <w:trPr>
          <w:trHeight w:val="680"/>
        </w:trPr>
        <w:tc>
          <w:tcPr>
            <w:tcW w:w="5548" w:type="dxa"/>
            <w:shd w:val="clear" w:color="auto" w:fill="DBDBDB" w:themeFill="accent3" w:themeFillTint="66"/>
          </w:tcPr>
          <w:p w14:paraId="39A12301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sz w:val="32"/>
                <w:szCs w:val="32"/>
                <w:highlight w:val="yellow"/>
                <w:u w:val="single"/>
              </w:rPr>
            </w:pPr>
          </w:p>
          <w:p w14:paraId="75C8ACDC" w14:textId="77777777" w:rsidR="00452858" w:rsidRPr="009C405B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sz w:val="32"/>
                <w:szCs w:val="32"/>
                <w:u w:val="single"/>
              </w:rPr>
            </w:pPr>
            <w:r w:rsidRPr="007039EE">
              <w:rPr>
                <w:rFonts w:eastAsia="Segoe UI" w:cstheme="minorHAnsi"/>
                <w:b/>
                <w:iCs/>
                <w:sz w:val="32"/>
                <w:szCs w:val="32"/>
                <w:highlight w:val="cyan"/>
                <w:u w:val="single"/>
              </w:rPr>
              <w:t>Prix net Vendeur</w:t>
            </w:r>
          </w:p>
        </w:tc>
        <w:tc>
          <w:tcPr>
            <w:tcW w:w="5737" w:type="dxa"/>
            <w:shd w:val="clear" w:color="auto" w:fill="DBDBDB" w:themeFill="accent3" w:themeFillTint="66"/>
          </w:tcPr>
          <w:p w14:paraId="2E9C6969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sz w:val="32"/>
                <w:szCs w:val="32"/>
                <w:highlight w:val="yellow"/>
                <w:u w:val="single"/>
              </w:rPr>
            </w:pPr>
          </w:p>
          <w:p w14:paraId="4184B3CA" w14:textId="77777777" w:rsidR="00452858" w:rsidRPr="009C405B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sz w:val="32"/>
                <w:szCs w:val="32"/>
                <w:u w:val="single"/>
              </w:rPr>
            </w:pPr>
            <w:r w:rsidRPr="007039EE">
              <w:rPr>
                <w:rFonts w:eastAsia="Segoe UI" w:cstheme="minorHAnsi"/>
                <w:b/>
                <w:iCs/>
                <w:sz w:val="32"/>
                <w:szCs w:val="32"/>
                <w:highlight w:val="cyan"/>
                <w:u w:val="single"/>
              </w:rPr>
              <w:t>Honoraires T.T.C charge acquéreur</w:t>
            </w:r>
          </w:p>
        </w:tc>
      </w:tr>
      <w:tr w:rsidR="00452858" w14:paraId="1B66ADC0" w14:textId="77777777" w:rsidTr="00452858">
        <w:trPr>
          <w:trHeight w:val="892"/>
        </w:trPr>
        <w:tc>
          <w:tcPr>
            <w:tcW w:w="5548" w:type="dxa"/>
            <w:shd w:val="clear" w:color="auto" w:fill="DBDBDB" w:themeFill="accent3" w:themeFillTint="66"/>
          </w:tcPr>
          <w:p w14:paraId="58B3B33A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</w:p>
          <w:p w14:paraId="00EFAF10" w14:textId="77777777" w:rsidR="00452858" w:rsidRPr="009C405B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  <w:r w:rsidRPr="009C405B">
              <w:rPr>
                <w:rFonts w:eastAsia="Segoe UI" w:cstheme="minorHAnsi"/>
                <w:bCs/>
                <w:iCs/>
                <w:sz w:val="28"/>
                <w:szCs w:val="28"/>
              </w:rPr>
              <w:t>De 1 à 250 000 €</w:t>
            </w:r>
          </w:p>
          <w:p w14:paraId="061B9703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</w:p>
        </w:tc>
        <w:tc>
          <w:tcPr>
            <w:tcW w:w="5737" w:type="dxa"/>
            <w:shd w:val="clear" w:color="auto" w:fill="DBDBDB" w:themeFill="accent3" w:themeFillTint="66"/>
          </w:tcPr>
          <w:p w14:paraId="6B7D0948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</w:p>
          <w:p w14:paraId="36DA0786" w14:textId="77777777" w:rsidR="00452858" w:rsidRPr="009C405B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  <w:r w:rsidRPr="009C405B">
              <w:rPr>
                <w:rFonts w:eastAsia="Segoe UI" w:cstheme="minorHAnsi"/>
                <w:bCs/>
                <w:iCs/>
                <w:sz w:val="28"/>
                <w:szCs w:val="28"/>
              </w:rPr>
              <w:t>8% du prix Net Vendeur</w:t>
            </w:r>
          </w:p>
          <w:p w14:paraId="655F7DB6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  <w:proofErr w:type="gramStart"/>
            <w:r w:rsidRPr="009C405B">
              <w:rPr>
                <w:rFonts w:eastAsia="Segoe UI" w:cstheme="minorHAnsi"/>
                <w:bCs/>
                <w:iCs/>
                <w:sz w:val="28"/>
                <w:szCs w:val="28"/>
              </w:rPr>
              <w:t>avec</w:t>
            </w:r>
            <w:proofErr w:type="gramEnd"/>
            <w:r w:rsidRPr="009C405B">
              <w:rPr>
                <w:rFonts w:eastAsia="Segoe UI" w:cstheme="minorHAnsi"/>
                <w:bCs/>
                <w:iCs/>
                <w:sz w:val="28"/>
                <w:szCs w:val="28"/>
              </w:rPr>
              <w:t xml:space="preserve"> un minimum de 5000 €</w:t>
            </w:r>
          </w:p>
        </w:tc>
      </w:tr>
      <w:tr w:rsidR="00452858" w14:paraId="2F84FEE3" w14:textId="77777777" w:rsidTr="00452858">
        <w:trPr>
          <w:trHeight w:val="794"/>
        </w:trPr>
        <w:tc>
          <w:tcPr>
            <w:tcW w:w="5548" w:type="dxa"/>
            <w:shd w:val="clear" w:color="auto" w:fill="DBDBDB" w:themeFill="accent3" w:themeFillTint="66"/>
          </w:tcPr>
          <w:p w14:paraId="4D24512D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</w:p>
          <w:p w14:paraId="054B0E8E" w14:textId="77777777" w:rsidR="00452858" w:rsidRPr="00F35F73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  <w:r w:rsidRPr="00F35F73">
              <w:rPr>
                <w:rFonts w:eastAsia="Segoe UI" w:cstheme="minorHAnsi"/>
                <w:bCs/>
                <w:iCs/>
                <w:sz w:val="28"/>
                <w:szCs w:val="28"/>
              </w:rPr>
              <w:t>De 250 001 € à 350 000 €</w:t>
            </w:r>
          </w:p>
        </w:tc>
        <w:tc>
          <w:tcPr>
            <w:tcW w:w="5737" w:type="dxa"/>
            <w:shd w:val="clear" w:color="auto" w:fill="DBDBDB" w:themeFill="accent3" w:themeFillTint="66"/>
          </w:tcPr>
          <w:p w14:paraId="2B7A23F2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  <w:u w:val="single"/>
              </w:rPr>
            </w:pPr>
          </w:p>
          <w:p w14:paraId="07C1C3E6" w14:textId="77777777" w:rsidR="00452858" w:rsidRPr="009C405B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  <w:u w:val="single"/>
              </w:rPr>
            </w:pPr>
            <w:r w:rsidRPr="009C405B">
              <w:rPr>
                <w:rFonts w:eastAsia="Segoe UI" w:cstheme="minorHAnsi"/>
                <w:bCs/>
                <w:iCs/>
                <w:sz w:val="28"/>
                <w:szCs w:val="28"/>
                <w:u w:val="single"/>
              </w:rPr>
              <w:t>6%</w:t>
            </w:r>
          </w:p>
        </w:tc>
      </w:tr>
      <w:tr w:rsidR="00452858" w14:paraId="11AB7C16" w14:textId="77777777" w:rsidTr="00452858">
        <w:trPr>
          <w:trHeight w:val="821"/>
        </w:trPr>
        <w:tc>
          <w:tcPr>
            <w:tcW w:w="5548" w:type="dxa"/>
            <w:shd w:val="clear" w:color="auto" w:fill="DBDBDB" w:themeFill="accent3" w:themeFillTint="66"/>
          </w:tcPr>
          <w:p w14:paraId="1C330403" w14:textId="77777777" w:rsidR="00452858" w:rsidRPr="00F35F73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</w:p>
          <w:p w14:paraId="6C2DADBF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/>
                <w:iCs/>
                <w:u w:val="single"/>
              </w:rPr>
            </w:pPr>
            <w:r w:rsidRPr="00F35F73">
              <w:rPr>
                <w:rFonts w:eastAsia="Segoe UI" w:cstheme="minorHAnsi"/>
                <w:bCs/>
                <w:iCs/>
                <w:sz w:val="28"/>
                <w:szCs w:val="28"/>
              </w:rPr>
              <w:t>&gt; à 350 0001 €</w:t>
            </w:r>
          </w:p>
        </w:tc>
        <w:tc>
          <w:tcPr>
            <w:tcW w:w="5737" w:type="dxa"/>
            <w:shd w:val="clear" w:color="auto" w:fill="DBDBDB" w:themeFill="accent3" w:themeFillTint="66"/>
          </w:tcPr>
          <w:p w14:paraId="2F6F5D3E" w14:textId="77777777" w:rsidR="00452858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</w:p>
          <w:p w14:paraId="5E58D9E1" w14:textId="77777777" w:rsidR="00452858" w:rsidRPr="00F35F73" w:rsidRDefault="00452858" w:rsidP="00452858">
            <w:pPr>
              <w:spacing w:after="31"/>
              <w:jc w:val="center"/>
              <w:rPr>
                <w:rFonts w:eastAsia="Segoe UI" w:cstheme="minorHAnsi"/>
                <w:bCs/>
                <w:iCs/>
                <w:sz w:val="28"/>
                <w:szCs w:val="28"/>
              </w:rPr>
            </w:pPr>
            <w:r w:rsidRPr="00F35F73">
              <w:rPr>
                <w:rFonts w:eastAsia="Segoe UI" w:cstheme="minorHAnsi"/>
                <w:bCs/>
                <w:iCs/>
                <w:sz w:val="28"/>
                <w:szCs w:val="28"/>
              </w:rPr>
              <w:t>5%</w:t>
            </w:r>
          </w:p>
        </w:tc>
      </w:tr>
    </w:tbl>
    <w:p w14:paraId="06C44CB3" w14:textId="77777777" w:rsidR="00452858" w:rsidRPr="00452858" w:rsidRDefault="00452858" w:rsidP="00452858">
      <w:pPr>
        <w:ind w:left="-851"/>
        <w:rPr>
          <w:b/>
          <w:bCs/>
        </w:rPr>
      </w:pPr>
    </w:p>
    <w:p w14:paraId="36C86BC6" w14:textId="77777777" w:rsidR="00452858" w:rsidRDefault="00452858" w:rsidP="00452858">
      <w:pPr>
        <w:spacing w:after="31"/>
        <w:rPr>
          <w:rFonts w:eastAsia="Segoe UI" w:cstheme="minorHAnsi"/>
          <w:b/>
          <w:iCs/>
          <w:u w:val="single"/>
        </w:rPr>
      </w:pPr>
    </w:p>
    <w:p w14:paraId="1714DDFE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7255AE0B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74730619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4D8011B2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6E5A0C6D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600FB91A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7D43315E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7B6079D1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6EAAA074" w14:textId="77777777" w:rsidR="00452858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</w:p>
    <w:p w14:paraId="2F371EAE" w14:textId="3F2E4F72" w:rsidR="00452858" w:rsidRPr="009C405B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  <w:r w:rsidRPr="009C405B">
        <w:rPr>
          <w:rFonts w:eastAsia="Segoe UI" w:cstheme="minorHAnsi"/>
          <w:b/>
          <w:iCs/>
          <w:u w:val="single"/>
        </w:rPr>
        <w:t>Estimation Comparative de Marché :  200 € TTC</w:t>
      </w:r>
    </w:p>
    <w:p w14:paraId="70A0D718" w14:textId="77777777" w:rsidR="00452858" w:rsidRPr="009C405B" w:rsidRDefault="00452858" w:rsidP="00452858">
      <w:pPr>
        <w:spacing w:after="31"/>
        <w:jc w:val="center"/>
        <w:rPr>
          <w:rFonts w:eastAsia="Segoe UI" w:cstheme="minorHAnsi"/>
          <w:b/>
          <w:iCs/>
          <w:u w:val="single"/>
        </w:rPr>
      </w:pPr>
      <w:r w:rsidRPr="009C405B">
        <w:rPr>
          <w:rFonts w:eastAsia="Segoe UI" w:cstheme="minorHAnsi"/>
          <w:b/>
          <w:iCs/>
          <w:u w:val="single"/>
        </w:rPr>
        <w:t>(Déduit au moment  de la vente du bien dans le cadre de la signature d’un mandat de vente).</w:t>
      </w:r>
    </w:p>
    <w:p w14:paraId="77D6CB6E" w14:textId="711F541B" w:rsidR="00452858" w:rsidRDefault="00452858" w:rsidP="007039EE">
      <w:pPr>
        <w:spacing w:after="31"/>
        <w:jc w:val="center"/>
        <w:rPr>
          <w:rFonts w:eastAsia="Segoe UI" w:cstheme="minorHAnsi"/>
          <w:b/>
          <w:iCs/>
          <w:u w:val="single"/>
        </w:rPr>
      </w:pPr>
      <w:r w:rsidRPr="009C405B">
        <w:rPr>
          <w:rFonts w:eastAsia="Segoe UI" w:cstheme="minorHAnsi"/>
          <w:b/>
          <w:iCs/>
          <w:u w:val="single"/>
        </w:rPr>
        <w:t>La délivrance d’une note est obligatoire.</w:t>
      </w:r>
    </w:p>
    <w:p w14:paraId="76790335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sz w:val="16"/>
          <w:szCs w:val="16"/>
          <w:u w:val="single"/>
        </w:rPr>
      </w:pPr>
    </w:p>
    <w:p w14:paraId="636A7B6F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000000" w:themeColor="text1"/>
          <w:sz w:val="16"/>
          <w:szCs w:val="16"/>
        </w:rPr>
      </w:pPr>
      <w:r w:rsidRPr="00452858">
        <w:rPr>
          <w:rFonts w:eastAsia="Segoe UI" w:cstheme="minorHAnsi"/>
          <w:b/>
          <w:iCs/>
          <w:color w:val="000000" w:themeColor="text1"/>
          <w:sz w:val="16"/>
          <w:szCs w:val="16"/>
        </w:rPr>
        <w:t>1er Mai 2024</w:t>
      </w:r>
    </w:p>
    <w:p w14:paraId="070E3548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000000" w:themeColor="text1"/>
          <w:sz w:val="16"/>
          <w:szCs w:val="16"/>
        </w:rPr>
      </w:pPr>
      <w:r w:rsidRPr="00452858">
        <w:rPr>
          <w:rFonts w:eastAsia="Segoe UI" w:cstheme="minorHAnsi"/>
          <w:b/>
          <w:iCs/>
          <w:color w:val="000000" w:themeColor="text1"/>
          <w:sz w:val="16"/>
          <w:szCs w:val="16"/>
        </w:rPr>
        <w:t>16 rue de Metz 57160 Moulins lès Metz</w:t>
      </w:r>
    </w:p>
    <w:p w14:paraId="471ECA78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000000" w:themeColor="text1"/>
          <w:sz w:val="16"/>
          <w:szCs w:val="16"/>
        </w:rPr>
      </w:pPr>
      <w:r w:rsidRPr="00452858">
        <w:rPr>
          <w:rFonts w:eastAsia="Segoe UI" w:cstheme="minorHAnsi"/>
          <w:b/>
          <w:iCs/>
          <w:color w:val="000000" w:themeColor="text1"/>
          <w:sz w:val="16"/>
          <w:szCs w:val="16"/>
        </w:rPr>
        <w:t>Tél. 03 87 36 44 61 - Fax 03 87 36 45 27</w:t>
      </w:r>
    </w:p>
    <w:p w14:paraId="034A4A18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FF0000"/>
          <w:sz w:val="16"/>
          <w:szCs w:val="16"/>
        </w:rPr>
      </w:pPr>
      <w:r w:rsidRPr="00452858">
        <w:rPr>
          <w:rFonts w:eastAsia="Segoe UI" w:cstheme="minorHAnsi"/>
          <w:b/>
          <w:iCs/>
          <w:color w:val="FF0000"/>
          <w:sz w:val="16"/>
          <w:szCs w:val="16"/>
        </w:rPr>
        <w:t>Mail : saintsymphorien@orpi.com - site : www.orpi .com/saint symphorien</w:t>
      </w:r>
    </w:p>
    <w:p w14:paraId="54092ECB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000000" w:themeColor="text1"/>
          <w:sz w:val="16"/>
          <w:szCs w:val="16"/>
        </w:rPr>
      </w:pPr>
      <w:r w:rsidRPr="00452858">
        <w:rPr>
          <w:rFonts w:eastAsia="Segoe UI" w:cstheme="minorHAnsi"/>
          <w:b/>
          <w:iCs/>
          <w:color w:val="000000" w:themeColor="text1"/>
          <w:sz w:val="16"/>
          <w:szCs w:val="16"/>
        </w:rPr>
        <w:t>SARL au capital de 7500 € - SIRET 524 730 173 RCS METZ</w:t>
      </w:r>
    </w:p>
    <w:p w14:paraId="7F5504CD" w14:textId="77777777" w:rsidR="00452858" w:rsidRPr="00452858" w:rsidRDefault="00452858" w:rsidP="00452858">
      <w:pPr>
        <w:spacing w:after="31"/>
        <w:jc w:val="center"/>
        <w:rPr>
          <w:rFonts w:eastAsia="Segoe UI" w:cstheme="minorHAnsi"/>
          <w:b/>
          <w:iCs/>
          <w:color w:val="000000" w:themeColor="text1"/>
          <w:sz w:val="16"/>
          <w:szCs w:val="16"/>
        </w:rPr>
      </w:pPr>
      <w:r w:rsidRPr="00452858">
        <w:rPr>
          <w:rFonts w:eastAsia="Segoe UI" w:cstheme="minorHAnsi"/>
          <w:b/>
          <w:iCs/>
          <w:color w:val="000000" w:themeColor="text1"/>
          <w:sz w:val="16"/>
          <w:szCs w:val="16"/>
        </w:rPr>
        <w:t>CPI 5701 2018 000 028 742 délivrée par la CCI de Moselle.</w:t>
      </w:r>
    </w:p>
    <w:p w14:paraId="2B925A61" w14:textId="52C1DE1F" w:rsidR="00452858" w:rsidRPr="005D376F" w:rsidRDefault="00452858" w:rsidP="00452858">
      <w:pPr>
        <w:spacing w:after="0" w:line="20" w:lineRule="exact"/>
        <w:rPr>
          <w:color w:val="FF0000"/>
        </w:rPr>
      </w:pPr>
    </w:p>
    <w:sectPr w:rsidR="00452858" w:rsidRPr="005D376F" w:rsidSect="00452858">
      <w:pgSz w:w="23811" w:h="16838" w:orient="landscape" w:code="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4"/>
    <w:rsid w:val="00452858"/>
    <w:rsid w:val="00545FFE"/>
    <w:rsid w:val="005D376F"/>
    <w:rsid w:val="007039EE"/>
    <w:rsid w:val="00E978CE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0653"/>
  <w15:chartTrackingRefBased/>
  <w15:docId w15:val="{2CF790A1-297A-40BE-ABA1-2882D304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D376F"/>
    <w:pPr>
      <w:spacing w:after="0" w:line="240" w:lineRule="auto"/>
    </w:pPr>
    <w:rPr>
      <w:rFonts w:eastAsia="Times New Roman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52858"/>
    <w:pPr>
      <w:spacing w:after="0" w:line="240" w:lineRule="auto"/>
    </w:pPr>
    <w:rPr>
      <w:rFonts w:eastAsia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orpi longeville</dc:creator>
  <cp:keywords/>
  <dc:description/>
  <cp:lastModifiedBy>orpi longeville</cp:lastModifiedBy>
  <cp:revision>3</cp:revision>
  <cp:lastPrinted>2024-04-26T08:46:00Z</cp:lastPrinted>
  <dcterms:created xsi:type="dcterms:W3CDTF">2024-04-26T08:12:00Z</dcterms:created>
  <dcterms:modified xsi:type="dcterms:W3CDTF">2024-04-26T14:07:00Z</dcterms:modified>
</cp:coreProperties>
</file>